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SYWMQ6BT7RYA0T9GQPR8ILJF7NLMOAPR9S0XUJDVXFM8TFLTZ6BRIC0PFSUHP8RRBEM6COZFZI7D8PXJQUFARFFU8RF0WHLB8XOOKHB3BA95C468FB6D3E76ABCBACC7FD51709F" Type="http://schemas.microsoft.com/office/2006/relationships/officeDocumentMain" Target="docProps/core.xml"/><Relationship Id="CAWFK6GI79TQ00TGQYR8PL0J7ZQ0OYYRQO06TJDWXFGRTELT60BJYCJUFYYTPC6RXNMX9OLHZH578HNJENFADFFZ8RM0WIWB8FOODHB3182609085C1F1FBCF13BB762763035D1"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21"/>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21"/>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pPr>
              <w:pStyle w:val="21"/>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21"/>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tbl>
      <w:tblPr>
        <w:tblStyle w:val="37"/>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c>
          <w:tcPr>
            <w:tcW w:w="6407" w:type="dxa"/>
          </w:tcPr>
          <w:p>
            <w:pPr>
              <w:pStyle w:val="53"/>
              <w:framePr w:w="0" w:hRule="auto" w:wrap="auto" w:vAnchor="margin" w:hAnchor="text" w:xAlign="left" w:yAlign="inline"/>
              <w:rPr>
                <w:rFonts w:ascii="宋体" w:hAnsi="宋体"/>
                <w:sz w:val="28"/>
                <w:szCs w:val="28"/>
              </w:rPr>
            </w:pPr>
            <w:bookmarkStart w:id="2" w:name="_Hlk26473981"/>
            <w:r>
              <w:t>SZSD</w:t>
            </w:r>
          </w:p>
        </w:tc>
      </w:tr>
    </w:tbl>
    <w:p>
      <w:pPr>
        <w:pStyle w:val="54"/>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t>数字山东</w:t>
      </w:r>
      <w:r>
        <w:rPr>
          <w:rFonts w:hint="eastAsia" w:ascii="黑体" w:hAnsi="黑体" w:eastAsia="黑体"/>
          <w:b w:val="0"/>
          <w:bCs w:val="0"/>
          <w:w w:val="100"/>
          <w:sz w:val="48"/>
          <w:szCs w:val="48"/>
        </w:rPr>
        <w:t>工程标准</w:t>
      </w:r>
      <w:bookmarkEnd w:id="2"/>
    </w:p>
    <w:p>
      <w:pPr>
        <w:pStyle w:val="199"/>
        <w:rPr>
          <w:lang w:val="fr-FR"/>
        </w:rPr>
      </w:pPr>
      <w:r>
        <w:rPr>
          <w:lang w:val="fr-FR"/>
        </w:rPr>
        <w:t xml:space="preserve">SZSD </w:t>
      </w:r>
      <w:r>
        <w:fldChar w:fldCharType="begin">
          <w:ffData>
            <w:name w:val="NSTD_CODE_F"/>
            <w:enabled/>
            <w:calcOnExit w:val="0"/>
            <w:textInput>
              <w:default w:val="XXXXX"/>
            </w:textInput>
          </w:ffData>
        </w:fldChar>
      </w:r>
      <w:bookmarkStart w:id="3" w:name="NSTD_CODE_F"/>
      <w:r>
        <w:instrText xml:space="preserve"> FORMTEXT </w:instrText>
      </w:r>
      <w:r>
        <w:fldChar w:fldCharType="separate"/>
      </w:r>
      <w:r>
        <w:t>XXXXX</w:t>
      </w:r>
      <w:r>
        <w:fldChar w:fldCharType="end"/>
      </w:r>
      <w:bookmarkEnd w:id="3"/>
      <w:r>
        <w:rPr>
          <w:rFonts w:hAnsi="黑体"/>
          <w:lang w:val="fr-FR"/>
        </w:rPr>
        <w:t>—</w:t>
      </w:r>
      <w:bookmarkStart w:id="4"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2"/>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2022</w:t>
      </w:r>
      <w:r>
        <w:rPr>
          <w:rFonts w:ascii="黑体" w:hAnsi="Times New Roman" w:eastAsia="黑体" w:cs="Times New Roman"/>
          <w:bCs/>
          <w:sz w:val="28"/>
          <w:szCs w:val="28"/>
          <w:lang w:val="en-US" w:eastAsia="zh-CN" w:bidi="ar-SA"/>
        </w:rPr>
        <w:fldChar w:fldCharType="end"/>
      </w:r>
      <w:bookmarkEnd w:id="4"/>
    </w:p>
    <w:p>
      <w:pPr>
        <w:pStyle w:val="200"/>
        <w:rPr>
          <w:rFonts w:hAnsi="黑体"/>
        </w:rPr>
      </w:pPr>
      <w:r>
        <w:rPr>
          <w:rFonts w:hAnsi="黑体"/>
        </w:rPr>
        <w:fldChar w:fldCharType="begin">
          <w:ffData>
            <w:name w:val="OSTD_CODE"/>
            <w:enabled/>
            <w:calcOnExit w:val="0"/>
            <w:textInput/>
          </w:ffData>
        </w:fldChar>
      </w:r>
      <w:bookmarkStart w:id="5"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5"/>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Hgm733KAQAAXg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MU0fxqCUtgqPD1sMb&#10;bKgGNhGzZmPrTYIkNdiYrdmdrJFjZII2z6fkdkkOimOugOrY6HyIryUaln5qrpVNqkEF2+sQ0yBQ&#10;HUvStsUrpXV2Xls21PzV2ewsNwTUqknJVBZ8t15qz7aQ7k7+MivKPCzzuLHN/hBtD6QTz71ia2x2&#10;K38Ug0zM0xwuXLolD9e5+/5ZL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J4NJltgAAAAMAQAA&#10;DwAAAAAAAAABACAAAAA4AAAAZHJzL2Rvd25yZXYueG1sUEsBAhQAFAAAAAgAh07iQHgm733KAQAA&#10;XgMAAA4AAAAAAAAAAQAgAAAAPQEAAGRycy9lMm9Eb2MueG1sUEsFBgAAAAAGAAYAWQEAAHkFAAAA&#10;AA==&#10;">
                <v:fill on="f" focussize="0,0"/>
                <v:stroke color="#000000" joinstyle="round"/>
                <v:imagedata o:title=""/>
                <o:lock v:ext="edit" aspectratio="f"/>
              </v:line>
            </w:pict>
          </mc:Fallback>
        </mc:AlternateContent>
      </w:r>
    </w:p>
    <w:p>
      <w:pPr>
        <w:pStyle w:val="54"/>
        <w:framePr w:w="9639" w:h="6976" w:hRule="exact" w:hSpace="0" w:vSpace="0" w:hAnchor="page" w:y="6408"/>
        <w:jc w:val="center"/>
        <w:rPr>
          <w:rFonts w:ascii="黑体" w:hAnsi="黑体" w:eastAsia="黑体"/>
          <w:b w:val="0"/>
          <w:bCs w:val="0"/>
          <w:w w:val="100"/>
        </w:rPr>
      </w:pPr>
    </w:p>
    <w:p>
      <w:pPr>
        <w:pStyle w:val="201"/>
        <w:framePr w:h="6974" w:hRule="exact" w:x="1419" w:anchorLock="1"/>
      </w:pPr>
      <w:bookmarkStart w:id="6" w:name="CSTD_NAME"/>
      <w:r>
        <w:rPr>
          <w:rFonts w:ascii="黑体" w:hAnsi="黑体" w:eastAsia="黑体" w:cs="Times New Roman"/>
          <w:bCs/>
          <w:sz w:val="52"/>
          <w:lang w:val="en-US" w:eastAsia="zh-CN" w:bidi="ar-SA"/>
        </w:rPr>
        <w:fldChar w:fldCharType="begin">
          <w:ffData>
            <w:name w:val="CSTD_NAME"/>
            <w:enabled/>
            <w:calcOnExit w:val="0"/>
            <w:textInput>
              <w:default w:val="“山东通”平台  应用系统测试规范"/>
            </w:textInput>
          </w:ffData>
        </w:fldChar>
      </w:r>
      <w:r>
        <w:rPr>
          <w:rFonts w:ascii="黑体" w:hAnsi="黑体" w:eastAsia="黑体" w:cs="Times New Roman"/>
          <w:bCs/>
          <w:sz w:val="52"/>
          <w:lang w:val="en-US" w:eastAsia="zh-CN" w:bidi="ar-SA"/>
        </w:rPr>
        <w:instrText xml:space="preserve">FORMTEXT</w:instrText>
      </w:r>
      <w:r>
        <w:rPr>
          <w:rFonts w:ascii="黑体" w:hAnsi="黑体" w:eastAsia="黑体" w:cs="Times New Roman"/>
          <w:bCs/>
          <w:sz w:val="52"/>
          <w:lang w:val="en-US" w:eastAsia="zh-CN" w:bidi="ar-SA"/>
        </w:rPr>
        <w:fldChar w:fldCharType="separate"/>
      </w:r>
      <w:r>
        <w:rPr>
          <w:rFonts w:ascii="黑体" w:hAnsi="黑体" w:eastAsia="黑体" w:cs="Times New Roman"/>
          <w:bCs/>
          <w:sz w:val="52"/>
          <w:lang w:val="en-US" w:eastAsia="zh-CN" w:bidi="ar-SA"/>
        </w:rPr>
        <w:t>“山东通”平台  应用系统测试规范</w:t>
      </w:r>
      <w:r>
        <w:rPr>
          <w:rFonts w:ascii="黑体" w:hAnsi="黑体" w:eastAsia="黑体" w:cs="Times New Roman"/>
          <w:bCs/>
          <w:sz w:val="52"/>
          <w:lang w:val="en-US" w:eastAsia="zh-CN" w:bidi="ar-SA"/>
        </w:rPr>
        <w:fldChar w:fldCharType="end"/>
      </w:r>
      <w:bookmarkEnd w:id="6"/>
      <w:bookmarkStart w:id="282" w:name="_GoBack"/>
      <w:bookmarkEnd w:id="282"/>
    </w:p>
    <w:p>
      <w:pPr>
        <w:framePr w:w="9639" w:h="6974" w:hRule="exact" w:wrap="around" w:vAnchor="page" w:hAnchor="page" w:x="1419" w:y="6408" w:anchorLock="1"/>
        <w:ind w:left="-1418"/>
      </w:pPr>
    </w:p>
    <w:p>
      <w:pPr>
        <w:pStyle w:val="129"/>
        <w:framePr w:w="9639" w:h="6974" w:hRule="exact" w:wrap="around" w:vAnchor="page" w:hAnchor="page" w:x="1419" w:y="6408" w:anchorLock="1"/>
        <w:textAlignment w:val="bottom"/>
        <w:rPr>
          <w:rFonts w:eastAsia="黑体"/>
          <w:szCs w:val="28"/>
        </w:rPr>
      </w:pPr>
      <w:bookmarkStart w:id="7" w:name="ESTD_NAME"/>
      <w:r>
        <w:rPr>
          <w:rFonts w:ascii="Times New Roman" w:hAnsi="Times New Roman" w:eastAsia="黑体" w:cs="Times New Roman"/>
          <w:sz w:val="28"/>
          <w:szCs w:val="28"/>
          <w:lang w:val="en-US" w:eastAsia="zh-CN" w:bidi="ar-SA"/>
        </w:rPr>
        <w:fldChar w:fldCharType="begin">
          <w:ffData>
            <w:name w:val="ESTD_NAME"/>
            <w:enabled/>
            <w:calcOnExit w:val="0"/>
            <w:textInput>
              <w:default w:val="&quot;Shandongtong&quot; platform—Applicaton system test specifications"/>
            </w:textInput>
          </w:ffData>
        </w:fldChar>
      </w:r>
      <w:r>
        <w:rPr>
          <w:rFonts w:ascii="Times New Roman" w:hAnsi="Times New Roman" w:eastAsia="黑体" w:cs="Times New Roman"/>
          <w:sz w:val="28"/>
          <w:szCs w:val="28"/>
          <w:lang w:val="en-US" w:eastAsia="zh-CN" w:bidi="ar-SA"/>
        </w:rPr>
        <w:instrText xml:space="preserve">FORMTEXT</w:instrText>
      </w:r>
      <w:r>
        <w:rPr>
          <w:rFonts w:ascii="Times New Roman" w:hAnsi="Times New Roman" w:eastAsia="黑体" w:cs="Times New Roman"/>
          <w:sz w:val="28"/>
          <w:szCs w:val="28"/>
          <w:lang w:val="en-US" w:eastAsia="zh-CN" w:bidi="ar-SA"/>
        </w:rPr>
        <w:fldChar w:fldCharType="separate"/>
      </w:r>
      <w:r>
        <w:rPr>
          <w:rFonts w:ascii="Times New Roman" w:hAnsi="Times New Roman" w:eastAsia="黑体" w:cs="Times New Roman"/>
          <w:sz w:val="28"/>
          <w:szCs w:val="28"/>
          <w:lang w:val="en-US" w:eastAsia="zh-CN" w:bidi="ar-SA"/>
        </w:rPr>
        <w:t>"Shandongtong" platform—Applicaton system test specifications</w:t>
      </w:r>
      <w:r>
        <w:rPr>
          <w:rFonts w:ascii="Times New Roman" w:hAnsi="Times New Roman" w:eastAsia="黑体" w:cs="Times New Roman"/>
          <w:sz w:val="28"/>
          <w:szCs w:val="28"/>
          <w:lang w:val="en-US" w:eastAsia="zh-CN" w:bidi="ar-SA"/>
        </w:rPr>
        <w:fldChar w:fldCharType="end"/>
      </w:r>
      <w:bookmarkEnd w:id="7"/>
    </w:p>
    <w:p>
      <w:pPr>
        <w:framePr w:w="9639" w:h="6974" w:hRule="exact" w:wrap="around" w:vAnchor="page" w:hAnchor="page" w:x="1419" w:y="6408" w:anchorLock="1"/>
        <w:spacing w:line="760" w:lineRule="exact"/>
        <w:ind w:left="-1418"/>
      </w:pPr>
    </w:p>
    <w:p>
      <w:pPr>
        <w:pStyle w:val="129"/>
        <w:framePr w:w="9639" w:h="6974" w:hRule="exact" w:wrap="around" w:vAnchor="page" w:hAnchor="page" w:x="1419" w:y="6408" w:anchorLock="1"/>
        <w:textAlignment w:val="bottom"/>
        <w:rPr>
          <w:rFonts w:eastAsia="黑体"/>
          <w:szCs w:val="28"/>
        </w:rPr>
      </w:pPr>
    </w:p>
    <w:p>
      <w:pPr>
        <w:pStyle w:val="129"/>
        <w:framePr w:w="9639" w:h="6974" w:hRule="exact" w:wrap="around" w:vAnchor="page" w:hAnchor="page" w:x="1419" w:y="6408" w:anchorLock="1"/>
        <w:textAlignment w:val="bottom"/>
        <w:rPr>
          <w:rFonts w:eastAsia="黑体"/>
          <w:szCs w:val="28"/>
        </w:rPr>
      </w:pPr>
    </w:p>
    <w:p>
      <w:pPr>
        <w:pStyle w:val="129"/>
        <w:framePr w:w="9639" w:h="6974" w:hRule="exact" w:wrap="around" w:vAnchor="page" w:hAnchor="page" w:x="1419" w:y="6408" w:anchorLock="1"/>
        <w:textAlignment w:val="bottom"/>
        <w:rPr>
          <w:rFonts w:eastAsia="黑体"/>
          <w:szCs w:val="28"/>
        </w:rPr>
      </w:pPr>
    </w:p>
    <w:p>
      <w:pPr>
        <w:pStyle w:val="129"/>
        <w:framePr w:w="9639" w:h="6974" w:hRule="exact" w:wrap="around" w:vAnchor="page" w:hAnchor="page" w:x="1419" w:y="6408" w:anchorLock="1"/>
        <w:textAlignment w:val="bottom"/>
        <w:rPr>
          <w:rFonts w:eastAsia="黑体"/>
          <w:szCs w:val="28"/>
        </w:rPr>
      </w:pPr>
    </w:p>
    <w:p>
      <w:pPr>
        <w:pStyle w:val="129"/>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440" w:after="160"/>
        <w:textAlignment w:val="bottom"/>
        <w:rPr>
          <w:sz w:val="24"/>
          <w:szCs w:val="28"/>
        </w:rPr>
      </w:pPr>
      <w:bookmarkStart w:id="8" w:name="下拉1"/>
      <w:r>
        <w:rPr>
          <w:rFonts w:ascii="Times New Roman" w:hAnsi="Times New Roman" w:eastAsia="宋体" w:cs="Times New Roman"/>
          <w:sz w:val="24"/>
          <w:szCs w:val="28"/>
          <w:lang w:val="en-US" w:eastAsia="zh-CN" w:bidi="ar-SA"/>
        </w:rPr>
        <w:fldChar w:fldCharType="begin">
          <w:ffData>
            <w:name w:val="下拉1"/>
            <w:enabled/>
            <w:calcOnExit w:val="0"/>
            <w:ddList>
              <w:listEntry w:val="（工作组讨论稿）"/>
              <w:listEntry w:val="草案版次选择"/>
              <w:listEntry w:val="（工作组讨论稿）"/>
              <w:listEntry w:val="（征求意见稿）"/>
              <w:listEntry w:val="（送审讨论稿）"/>
              <w:listEntry w:val="（送审稿）"/>
              <w:listEntry w:val="（报批稿）"/>
              <w:listEntry w:val="（试用稿）"/>
            </w:ddList>
          </w:ffData>
        </w:fldChar>
      </w:r>
      <w:r>
        <w:rPr>
          <w:rFonts w:ascii="Times New Roman" w:hAnsi="Times New Roman" w:eastAsia="宋体" w:cs="Times New Roman"/>
          <w:sz w:val="24"/>
          <w:szCs w:val="28"/>
          <w:lang w:val="en-US" w:eastAsia="zh-CN" w:bidi="ar-SA"/>
        </w:rPr>
        <w:instrText xml:space="preserve">FORMDROPDOWN</w:instrText>
      </w:r>
      <w:r>
        <w:rPr>
          <w:rFonts w:ascii="Times New Roman" w:hAnsi="Times New Roman" w:eastAsia="宋体" w:cs="Times New Roman"/>
          <w:sz w:val="24"/>
          <w:szCs w:val="28"/>
          <w:lang w:val="en-US" w:eastAsia="zh-CN" w:bidi="ar-SA"/>
        </w:rPr>
        <w:fldChar w:fldCharType="separate"/>
      </w:r>
      <w:r>
        <w:rPr>
          <w:rFonts w:ascii="Times New Roman" w:hAnsi="Times New Roman" w:eastAsia="宋体" w:cs="Times New Roman"/>
          <w:sz w:val="24"/>
          <w:szCs w:val="28"/>
          <w:lang w:val="en-US" w:eastAsia="zh-CN" w:bidi="ar-SA"/>
        </w:rPr>
        <w:fldChar w:fldCharType="end"/>
      </w:r>
      <w:bookmarkEnd w:id="8"/>
    </w:p>
    <w:p>
      <w:pPr>
        <w:pStyle w:val="129"/>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9"/>
    </w:p>
    <w:p>
      <w:pPr>
        <w:pStyle w:val="129"/>
        <w:framePr w:w="9639" w:h="6974" w:hRule="exact" w:wrap="around" w:vAnchor="page" w:hAnchor="page" w:x="1419" w:y="6408" w:anchorLock="1"/>
        <w:spacing w:before="180" w:line="240" w:lineRule="atLeast"/>
        <w:textAlignment w:val="bottom"/>
        <w:rPr>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pPr>
        <w:pStyle w:val="197"/>
        <w:framePr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pPr>
        <w:pStyle w:val="198"/>
        <w:framePr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pPr>
        <w:pStyle w:val="155"/>
        <w:framePr w:h="584" w:hRule="exact" w:hSpace="181" w:vSpace="181" w:y="15027"/>
        <w:rPr>
          <w:rFonts w:hAnsi="黑体"/>
        </w:rPr>
      </w:pPr>
      <w:r>
        <w:rPr>
          <w:rFonts w:hAnsi="黑体"/>
          <w:w w:val="100"/>
          <w:sz w:val="28"/>
        </w:rPr>
        <w:fldChar w:fldCharType="begin">
          <w:ffData>
            <w:name w:val="fm"/>
            <w:enabled/>
            <w:calcOnExit w:val="0"/>
            <w:textInput>
              <w:default w:val="山东省市场监督管理局"/>
            </w:textInput>
          </w:ffData>
        </w:fldChar>
      </w:r>
      <w:r>
        <w:rPr>
          <w:rFonts w:hAnsi="黑体"/>
          <w:w w:val="100"/>
          <w:sz w:val="28"/>
        </w:rPr>
        <w:instrText xml:space="preserve"> </w:instrText>
      </w:r>
      <w:bookmarkStart w:id="17" w:name="fm"/>
      <w:r>
        <w:rPr>
          <w:rFonts w:hAnsi="黑体"/>
          <w:w w:val="100"/>
          <w:sz w:val="28"/>
        </w:rPr>
        <w:instrText xml:space="preserve">FORMTEXT </w:instrText>
      </w:r>
      <w:r>
        <w:rPr>
          <w:rFonts w:hAnsi="黑体"/>
          <w:w w:val="100"/>
          <w:sz w:val="28"/>
        </w:rPr>
        <w:fldChar w:fldCharType="separate"/>
      </w:r>
      <w:r>
        <w:rPr>
          <w:rFonts w:hAnsi="黑体"/>
          <w:w w:val="100"/>
          <w:sz w:val="28"/>
        </w:rPr>
        <w:t>山东省市场监督管理局</w:t>
      </w:r>
      <w:r>
        <w:rPr>
          <w:rFonts w:hAnsi="黑体"/>
          <w:w w:val="100"/>
          <w:sz w:val="28"/>
        </w:rPr>
        <w:fldChar w:fldCharType="end"/>
      </w:r>
      <w:bookmarkEnd w:id="17"/>
      <w:r>
        <w:rPr>
          <w:rFonts w:ascii="Times New Roman"/>
          <w:w w:val="100"/>
          <w:sz w:val="28"/>
        </w:rPr>
        <w:t>  </w:t>
      </w:r>
      <w:r>
        <w:rPr>
          <w:rStyle w:val="233"/>
          <w:rFonts w:hint="eastAsia" w:hAnsi="黑体"/>
          <w:position w:val="0"/>
        </w:rPr>
        <w:t>发</w:t>
      </w:r>
      <w:r>
        <w:rPr>
          <w:rStyle w:val="233"/>
          <w:rFonts w:hint="eastAsia" w:hAnsi="黑体"/>
          <w:spacing w:val="0"/>
          <w:position w:val="0"/>
        </w:rPr>
        <w:t>布</w:t>
      </w:r>
    </w:p>
    <w:p>
      <w:pPr>
        <w:rPr>
          <w:rFonts w:ascii="宋体" w:hAnsi="宋体"/>
          <w:sz w:val="28"/>
          <w:szCs w:val="28"/>
        </w:rPr>
        <w:sectPr>
          <w:headerReference r:id="rId5" w:type="first"/>
          <w:footerReference r:id="rId7" w:type="first"/>
          <w:headerReference r:id="rId3" w:type="default"/>
          <w:headerReference r:id="rId4" w:type="even"/>
          <w:footerReference r:id="rId6"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qt0+T8gBAABc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Ypo7ir5a0CI6O2gxvsKEa&#10;2EbMio2tNwmStGBjNmZ/NkaOkQnavJiS1yX5J065AqpTo/MhvpZoWPqpuVY2aQYV7G5CTINAdSpJ&#10;2xavldbZd23ZUPNX89k8NwTUqknJVBZ8t1lpz3aQbk7+MivKPCzzuLXN4RBtj6QTz4NiG2z2a38S&#10;gyzM0xyvW7ojD9e5+8+jWP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qzMc+9cAAAAOAQAADwAA&#10;AAAAAAABACAAAAA4AAAAZHJzL2Rvd25yZXYueG1sUEsBAhQAFAAAAAgAh07iQKrdPk/IAQAAXAMA&#10;AA4AAAAAAAAAAQAgAAAAPAEAAGRycy9lMm9Eb2MueG1sUEsFBgAAAAAGAAYAWQEAAHYFAAAAAA==&#10;">
                <v:fill on="f" focussize="0,0"/>
                <v:stroke color="#000000" joinstyle="round"/>
                <v:imagedata o:title=""/>
                <o:lock v:ext="edit" aspectratio="f"/>
                <w10:anchorlock/>
              </v:line>
            </w:pict>
          </mc:Fallback>
        </mc:AlternateContent>
      </w:r>
    </w:p>
    <w:p>
      <w:pPr>
        <w:pStyle w:val="95"/>
        <w:spacing w:after="468"/>
      </w:pPr>
      <w:bookmarkStart w:id="18" w:name="BookMark1"/>
      <w:r>
        <w:rPr>
          <w:spacing w:val="320"/>
        </w:rPr>
        <w:t>目</w:t>
      </w:r>
      <w:r>
        <w:t>次</w:t>
      </w:r>
    </w:p>
    <w:p>
      <w:pPr>
        <w:pStyle w:val="22"/>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"_Toc91593877" </w:instrText>
      </w:r>
      <w:r>
        <w:fldChar w:fldCharType="separate"/>
      </w:r>
      <w:r>
        <w:rPr>
          <w:rStyle w:val="33"/>
        </w:rPr>
        <w:t>1  范围</w:t>
      </w:r>
      <w:r>
        <w:tab/>
      </w:r>
      <w:r>
        <w:fldChar w:fldCharType="begin"/>
      </w:r>
      <w:r>
        <w:instrText xml:space="preserve"> PAGEREF _Toc91593877 \h </w:instrText>
      </w:r>
      <w:r>
        <w:fldChar w:fldCharType="separate"/>
      </w:r>
      <w:r>
        <w:t>1</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"_Toc91593878" </w:instrText>
      </w:r>
      <w:r>
        <w:fldChar w:fldCharType="separate"/>
      </w:r>
      <w:r>
        <w:rPr>
          <w:rStyle w:val="33"/>
        </w:rPr>
        <w:t>2  规范性引用文件</w:t>
      </w:r>
      <w:r>
        <w:tab/>
      </w:r>
      <w:r>
        <w:fldChar w:fldCharType="begin"/>
      </w:r>
      <w:r>
        <w:instrText xml:space="preserve"> PAGEREF _Toc91593878 \h </w:instrText>
      </w:r>
      <w:r>
        <w:fldChar w:fldCharType="separate"/>
      </w:r>
      <w:r>
        <w:t>1</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"_Toc91593879" </w:instrText>
      </w:r>
      <w:r>
        <w:fldChar w:fldCharType="separate"/>
      </w:r>
      <w:r>
        <w:rPr>
          <w:rStyle w:val="33"/>
        </w:rPr>
        <w:t>3  术语和定义</w:t>
      </w:r>
      <w:r>
        <w:tab/>
      </w:r>
      <w:r>
        <w:fldChar w:fldCharType="begin"/>
      </w:r>
      <w:r>
        <w:instrText xml:space="preserve"> PAGEREF _Toc91593879 \h </w:instrText>
      </w:r>
      <w:r>
        <w:fldChar w:fldCharType="separate"/>
      </w:r>
      <w:r>
        <w:t>1</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"_Toc91593880" </w:instrText>
      </w:r>
      <w:r>
        <w:fldChar w:fldCharType="separate"/>
      </w:r>
      <w:r>
        <w:rPr>
          <w:rStyle w:val="33"/>
        </w:rPr>
        <w:t>4  缩略语</w:t>
      </w:r>
      <w:r>
        <w:tab/>
      </w:r>
      <w:r>
        <w:fldChar w:fldCharType="begin"/>
      </w:r>
      <w:r>
        <w:instrText xml:space="preserve"> PAGEREF _Toc91593880 \h </w:instrText>
      </w:r>
      <w:r>
        <w:fldChar w:fldCharType="separate"/>
      </w:r>
      <w:r>
        <w:t>1</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"_Toc91593881" </w:instrText>
      </w:r>
      <w:r>
        <w:fldChar w:fldCharType="separate"/>
      </w:r>
      <w:r>
        <w:rPr>
          <w:rStyle w:val="33"/>
        </w:rPr>
        <w:t>5  基本要求</w:t>
      </w:r>
      <w:r>
        <w:tab/>
      </w:r>
      <w:r>
        <w:fldChar w:fldCharType="begin"/>
      </w:r>
      <w:r>
        <w:instrText xml:space="preserve"> PAGEREF _Toc91593881 \h </w:instrText>
      </w:r>
      <w:r>
        <w:fldChar w:fldCharType="separate"/>
      </w:r>
      <w:r>
        <w:t>1</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"_Toc91593885" </w:instrText>
      </w:r>
      <w:r>
        <w:fldChar w:fldCharType="separate"/>
      </w:r>
      <w:r>
        <w:rPr>
          <w:rStyle w:val="33"/>
        </w:rPr>
        <w:t>6  测试流程</w:t>
      </w:r>
      <w:r>
        <w:tab/>
      </w:r>
      <w:r>
        <w:fldChar w:fldCharType="begin"/>
      </w:r>
      <w:r>
        <w:instrText xml:space="preserve"> PAGEREF _Toc91593885 \h </w:instrText>
      </w:r>
      <w:r>
        <w:fldChar w:fldCharType="separate"/>
      </w:r>
      <w:r>
        <w:t>2</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"_Toc91593891" </w:instrText>
      </w:r>
      <w:r>
        <w:fldChar w:fldCharType="separate"/>
      </w:r>
      <w:r>
        <w:rPr>
          <w:rStyle w:val="33"/>
        </w:rPr>
        <w:t>7  测试内容</w:t>
      </w:r>
      <w:r>
        <w:tab/>
      </w:r>
      <w:r>
        <w:fldChar w:fldCharType="begin"/>
      </w:r>
      <w:r>
        <w:instrText xml:space="preserve"> PAGEREF _Toc91593891 \h </w:instrText>
      </w:r>
      <w:r>
        <w:fldChar w:fldCharType="separate"/>
      </w:r>
      <w:r>
        <w:t>3</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"_Toc91593897" </w:instrText>
      </w:r>
      <w:r>
        <w:fldChar w:fldCharType="separate"/>
      </w:r>
      <w:r>
        <w:rPr>
          <w:rStyle w:val="33"/>
        </w:rPr>
        <w:t>8  测试结果</w:t>
      </w:r>
      <w:r>
        <w:tab/>
      </w:r>
      <w:r>
        <w:fldChar w:fldCharType="begin"/>
      </w:r>
      <w:r>
        <w:instrText xml:space="preserve"> PAGEREF _Toc91593897 \h </w:instrText>
      </w:r>
      <w:r>
        <w:fldChar w:fldCharType="separate"/>
      </w:r>
      <w:r>
        <w:t>4</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"_Toc91593898" </w:instrText>
      </w:r>
      <w:r>
        <w:fldChar w:fldCharType="separate"/>
      </w:r>
      <w:r>
        <w:rPr>
          <w:rStyle w:val="33"/>
        </w:rPr>
        <w:t>附录A（资料性）  应用系统部署文档</w:t>
      </w:r>
      <w:r>
        <w:tab/>
      </w:r>
      <w:r>
        <w:fldChar w:fldCharType="begin"/>
      </w:r>
      <w:r>
        <w:instrText xml:space="preserve"> PAGEREF _Toc91593898 \h </w:instrText>
      </w:r>
      <w:r>
        <w:fldChar w:fldCharType="separate"/>
      </w:r>
      <w:r>
        <w:t>5</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"_Toc91593903" </w:instrText>
      </w:r>
      <w:r>
        <w:fldChar w:fldCharType="separate"/>
      </w:r>
      <w:r>
        <w:rPr>
          <w:rStyle w:val="33"/>
        </w:rPr>
        <w:t>附录B（资料性）  应用系统上线自查文档</w:t>
      </w:r>
      <w:r>
        <w:tab/>
      </w:r>
      <w:r>
        <w:fldChar w:fldCharType="begin"/>
      </w:r>
      <w:r>
        <w:instrText xml:space="preserve"> PAGEREF _Toc91593903 \h </w:instrText>
      </w:r>
      <w:r>
        <w:fldChar w:fldCharType="separate"/>
      </w:r>
      <w:r>
        <w:t>8</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"_Toc91593907" </w:instrText>
      </w:r>
      <w:r>
        <w:fldChar w:fldCharType="separate"/>
      </w:r>
      <w:r>
        <w:rPr>
          <w:rStyle w:val="33"/>
        </w:rPr>
        <w:t>附录C（资料性）  压测报告</w:t>
      </w:r>
      <w:r>
        <w:tab/>
      </w:r>
      <w:r>
        <w:fldChar w:fldCharType="begin"/>
      </w:r>
      <w:r>
        <w:instrText xml:space="preserve"> PAGEREF _Toc91593907 \h </w:instrText>
      </w:r>
      <w:r>
        <w:fldChar w:fldCharType="separate"/>
      </w:r>
      <w:r>
        <w:t>9</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"_Toc91593913" </w:instrText>
      </w:r>
      <w:r>
        <w:fldChar w:fldCharType="separate"/>
      </w:r>
      <w:r>
        <w:rPr>
          <w:rStyle w:val="33"/>
        </w:rPr>
        <w:t>附录D（资料性）  应急预案</w:t>
      </w:r>
      <w:r>
        <w:tab/>
      </w:r>
      <w:r>
        <w:fldChar w:fldCharType="begin"/>
      </w:r>
      <w:r>
        <w:instrText xml:space="preserve"> PAGEREF _Toc91593913 \h </w:instrText>
      </w:r>
      <w:r>
        <w:fldChar w:fldCharType="separate"/>
      </w:r>
      <w:r>
        <w:t>11</w:t>
      </w:r>
      <w:r>
        <w:fldChar w:fldCharType="end"/>
      </w:r>
      <w:r>
        <w:fldChar w:fldCharType="end"/>
      </w:r>
    </w:p>
    <w:p>
      <w:pPr>
        <w:pStyle w:val="22"/>
        <w:tabs>
          <w:tab w:val="right" w:leader="dot" w:pos="9344"/>
        </w:tabs>
        <w:rPr>
          <w:rFonts w:asciiTheme="minorHAnsi" w:hAnsiTheme="minorHAnsi" w:eastAsiaTheme="minorEastAsia" w:cstheme="minorBidi"/>
          <w:szCs w:val="22"/>
        </w:rPr>
      </w:pPr>
      <w:r>
        <w:fldChar w:fldCharType="begin"/>
      </w:r>
      <w:r>
        <w:instrText xml:space="preserve"> HYPERLINK \l "_Toc91593916" </w:instrText>
      </w:r>
      <w:r>
        <w:fldChar w:fldCharType="separate"/>
      </w:r>
      <w:r>
        <w:rPr>
          <w:rStyle w:val="33"/>
        </w:rPr>
        <w:t>附录E（规范性）  测试报告</w:t>
      </w:r>
      <w:r>
        <w:tab/>
      </w:r>
      <w:r>
        <w:fldChar w:fldCharType="begin"/>
      </w:r>
      <w:r>
        <w:instrText xml:space="preserve"> PAGEREF _Toc91593916 \h </w:instrText>
      </w:r>
      <w:r>
        <w:fldChar w:fldCharType="separate"/>
      </w:r>
      <w:r>
        <w:t>12</w:t>
      </w:r>
      <w:r>
        <w:fldChar w:fldCharType="end"/>
      </w:r>
      <w:r>
        <w:fldChar w:fldCharType="end"/>
      </w:r>
    </w:p>
    <w:p>
      <w:pPr>
        <w:pStyle w:val="95"/>
        <w:spacing w:after="468"/>
        <w:sectPr>
          <w:headerReference r:id="rId8" w:type="default"/>
          <w:footerReference r:id="rId10" w:type="default"/>
          <w:headerReference r:id="rId9" w:type="even"/>
          <w:pgSz w:w="11906" w:h="16838"/>
          <w:pgMar w:top="2410" w:right="1134" w:bottom="1134" w:left="1134" w:header="1418" w:footer="1134" w:gutter="284"/>
          <w:pgNumType w:fmt="upperRoman" w:start="1"/>
          <w:cols w:space="425" w:num="1"/>
          <w:formProt w:val="0"/>
          <w:docGrid w:type="lines" w:linePitch="312" w:charSpace="0"/>
        </w:sectPr>
      </w:pPr>
      <w:r>
        <w:fldChar w:fldCharType="end"/>
      </w:r>
      <w:bookmarkEnd w:id="18"/>
    </w:p>
    <w:p>
      <w:pPr>
        <w:spacing w:line="20" w:lineRule="exact"/>
        <w:jc w:val="center"/>
        <w:rPr>
          <w:rFonts w:ascii="黑体" w:hAnsi="黑体" w:eastAsia="黑体"/>
          <w:sz w:val="32"/>
          <w:szCs w:val="32"/>
        </w:rPr>
      </w:pPr>
      <w:bookmarkStart w:id="19" w:name="BookMark4"/>
    </w:p>
    <w:p>
      <w:pPr>
        <w:spacing w:line="20" w:lineRule="exact"/>
        <w:jc w:val="center"/>
        <w:rPr>
          <w:rFonts w:ascii="黑体" w:hAnsi="黑体" w:eastAsia="黑体"/>
          <w:sz w:val="32"/>
          <w:szCs w:val="32"/>
        </w:rPr>
      </w:pPr>
    </w:p>
    <w:sdt>
      <w:sdtPr>
        <w:tag w:val="NEW_STAND_NAME"/>
        <w:id w:val="595910757"/>
        <w:lock w:val="sdtLocked"/>
        <w:placeholder>
          <w:docPart w:val="6F2D420EABD8418B925E967C73A7F61B"/>
        </w:placeholder>
      </w:sdtPr>
      <w:sdtContent>
        <w:p>
          <w:pPr>
            <w:pStyle w:val="181"/>
            <w:spacing w:before="312" w:beforeLines="100" w:after="686" w:afterLines="220"/>
          </w:pPr>
          <w:bookmarkStart w:id="20" w:name="NEW_STAND_NAME"/>
          <w:r>
            <w:rPr>
              <w:rFonts w:hint="eastAsia"/>
            </w:rPr>
            <w:t>“山东通”平台</w:t>
          </w:r>
          <w:r>
            <w:t xml:space="preserve"> 应用</w:t>
          </w:r>
          <w:r>
            <w:rPr>
              <w:rFonts w:hint="eastAsia"/>
            </w:rPr>
            <w:t>系统</w:t>
          </w:r>
          <w:r>
            <w:t>测试规范</w:t>
          </w:r>
          <w:bookmarkEnd w:id="20"/>
        </w:p>
      </w:sdtContent>
    </w:sdt>
    <w:p>
      <w:pPr>
        <w:pStyle w:val="108"/>
        <w:spacing w:before="312" w:after="312"/>
      </w:pPr>
      <w:bookmarkStart w:id="21" w:name="_Toc26986771"/>
      <w:bookmarkStart w:id="22" w:name="_Toc17233325"/>
      <w:bookmarkStart w:id="23" w:name="_Toc26648465"/>
      <w:bookmarkStart w:id="24" w:name="_Toc88583447"/>
      <w:bookmarkStart w:id="25" w:name="_Toc89073601"/>
      <w:bookmarkStart w:id="26" w:name="_Toc89194092"/>
      <w:bookmarkStart w:id="27" w:name="_Toc89439202"/>
      <w:bookmarkStart w:id="28" w:name="_Toc24884218"/>
      <w:bookmarkStart w:id="29" w:name="_Toc26718930"/>
      <w:bookmarkStart w:id="30" w:name="_Toc91593877"/>
      <w:bookmarkStart w:id="31" w:name="_Toc26986530"/>
      <w:bookmarkStart w:id="32" w:name="_Toc17233333"/>
      <w:bookmarkStart w:id="33" w:name="_Toc89785959"/>
      <w:bookmarkStart w:id="34" w:name="_Toc24884211"/>
      <w:r>
        <w:rPr>
          <w:rFonts w:hint="eastAsia"/>
        </w:rPr>
        <w:t>范围</w:t>
      </w:r>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60"/>
        <w:ind w:firstLine="420"/>
      </w:pPr>
      <w:bookmarkStart w:id="35" w:name="_Toc26648466"/>
      <w:bookmarkStart w:id="36" w:name="_Toc17233326"/>
      <w:bookmarkStart w:id="37" w:name="_Toc24884219"/>
      <w:bookmarkStart w:id="38" w:name="_Toc17233334"/>
      <w:bookmarkStart w:id="39" w:name="_Toc24884212"/>
      <w:r>
        <w:t>本文件规范了</w:t>
      </w:r>
      <w:r>
        <w:rPr>
          <w:rFonts w:hint="eastAsia"/>
        </w:rPr>
        <w:t>“山东通”平台应用系统测试基本要求、测试流程、测试内容、测试结果要求。</w:t>
      </w:r>
    </w:p>
    <w:p>
      <w:pPr>
        <w:pStyle w:val="60"/>
        <w:ind w:firstLine="420"/>
      </w:pPr>
      <w:r>
        <w:t>本文件适用于</w:t>
      </w:r>
      <w:r>
        <w:rPr>
          <w:rFonts w:hint="eastAsia"/>
        </w:rPr>
        <w:t>接入“山东通”平台的应用系统上线测试验收。</w:t>
      </w:r>
    </w:p>
    <w:p>
      <w:pPr>
        <w:pStyle w:val="108"/>
        <w:spacing w:before="312" w:after="312"/>
      </w:pPr>
      <w:bookmarkStart w:id="40" w:name="_Toc26986772"/>
      <w:bookmarkStart w:id="41" w:name="_Toc89439203"/>
      <w:bookmarkStart w:id="42" w:name="_Toc88583448"/>
      <w:bookmarkStart w:id="43" w:name="_Toc26986531"/>
      <w:bookmarkStart w:id="44" w:name="_Toc26718931"/>
      <w:bookmarkStart w:id="45" w:name="_Toc89194093"/>
      <w:bookmarkStart w:id="46" w:name="_Toc89073602"/>
      <w:bookmarkStart w:id="47" w:name="_Toc91593878"/>
      <w:bookmarkStart w:id="48" w:name="_Toc89785960"/>
      <w:r>
        <w:rPr>
          <w:rFonts w:hint="eastAsia"/>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p>
    <w:sdt>
      <w:sdtPr>
        <w:rPr>
          <w:rFonts w:hint="eastAsia"/>
        </w:rPr>
        <w:id w:val="715848253"/>
        <w:placeholder>
          <w:docPart w:val="0320AB435A8F45DA82263DA979D1B16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60"/>
        <w:ind w:firstLine="420"/>
      </w:pPr>
      <w:r>
        <w:rPr>
          <w:rFonts w:hint="eastAsia"/>
        </w:rPr>
        <w:t>GB/T 9386—2008</w:t>
      </w:r>
      <w:r>
        <w:t xml:space="preserve">  </w:t>
      </w:r>
      <w:r>
        <w:rPr>
          <w:rFonts w:hint="eastAsia"/>
        </w:rPr>
        <w:t>计算机软件测试文档编制规范</w:t>
      </w:r>
    </w:p>
    <w:p>
      <w:pPr>
        <w:pStyle w:val="60"/>
        <w:ind w:firstLine="420"/>
      </w:pPr>
      <w:r>
        <w:rPr>
          <w:rFonts w:hint="eastAsia"/>
        </w:rPr>
        <w:t>GB/T 22239—2019</w:t>
      </w:r>
      <w:r>
        <w:t xml:space="preserve">  </w:t>
      </w:r>
      <w:r>
        <w:rPr>
          <w:rFonts w:hint="eastAsia"/>
        </w:rPr>
        <w:t>信息安全技术 网络安全等级保护基本要求</w:t>
      </w:r>
    </w:p>
    <w:p>
      <w:pPr>
        <w:pStyle w:val="60"/>
        <w:ind w:firstLine="420"/>
      </w:pPr>
      <w:r>
        <w:rPr>
          <w:rFonts w:hint="eastAsia"/>
          <w:lang w:val="en-US" w:eastAsia="zh-Hans"/>
        </w:rPr>
        <w:t>SZSD</w:t>
      </w:r>
      <w:r>
        <w:rPr>
          <w:rFonts w:hint="eastAsia"/>
        </w:rPr>
        <w:t xml:space="preserve"> XXXX—2022</w:t>
      </w:r>
      <w:r>
        <w:t xml:space="preserve">  </w:t>
      </w:r>
      <w:r>
        <w:rPr>
          <w:rFonts w:hint="eastAsia"/>
        </w:rPr>
        <w:t>“山东通”平台 应用</w:t>
      </w:r>
      <w:r>
        <w:rPr>
          <w:rFonts w:hint="eastAsia"/>
          <w:lang w:val="en-US" w:eastAsia="zh-Hans"/>
        </w:rPr>
        <w:t>系统</w:t>
      </w:r>
      <w:r>
        <w:rPr>
          <w:rFonts w:hint="eastAsia"/>
        </w:rPr>
        <w:t>接入规范</w:t>
      </w:r>
    </w:p>
    <w:p>
      <w:pPr>
        <w:pStyle w:val="108"/>
        <w:spacing w:before="312" w:after="312"/>
      </w:pPr>
      <w:bookmarkStart w:id="49" w:name="_Toc89073603"/>
      <w:bookmarkStart w:id="50" w:name="_Toc91593879"/>
      <w:bookmarkStart w:id="51" w:name="_Toc89194094"/>
      <w:bookmarkStart w:id="52" w:name="_Toc89785961"/>
      <w:bookmarkStart w:id="53" w:name="_Toc89439204"/>
      <w:bookmarkStart w:id="54" w:name="_Toc88583449"/>
      <w:r>
        <w:rPr>
          <w:rFonts w:hint="eastAsia"/>
          <w:szCs w:val="21"/>
        </w:rPr>
        <w:t>术语和定义</w:t>
      </w:r>
      <w:bookmarkEnd w:id="49"/>
      <w:bookmarkEnd w:id="50"/>
      <w:bookmarkEnd w:id="51"/>
      <w:bookmarkEnd w:id="52"/>
      <w:bookmarkEnd w:id="53"/>
      <w:bookmarkEnd w:id="54"/>
    </w:p>
    <w:sdt>
      <w:sdtPr>
        <w:id w:val="0"/>
        <w:placeholder>
          <w:docPart w:val="4AFD653D89B64C5B9EE5D9077A1A4DC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60"/>
            <w:ind w:firstLine="420"/>
          </w:pPr>
          <w:bookmarkStart w:id="55" w:name="_Toc26986532"/>
          <w:bookmarkEnd w:id="55"/>
          <w:r>
            <w:t>本文件没有需要界定的术语和定义。</w:t>
          </w:r>
        </w:p>
      </w:sdtContent>
    </w:sdt>
    <w:p>
      <w:pPr>
        <w:pStyle w:val="108"/>
        <w:spacing w:before="312" w:after="312"/>
      </w:pPr>
      <w:bookmarkStart w:id="56" w:name="_Toc89785962"/>
      <w:bookmarkStart w:id="57" w:name="_Toc89194095"/>
      <w:bookmarkStart w:id="58" w:name="_Toc91593880"/>
      <w:bookmarkStart w:id="59" w:name="_Toc89439205"/>
      <w:bookmarkStart w:id="60" w:name="_Toc88583450"/>
      <w:bookmarkStart w:id="61" w:name="_Toc89073604"/>
      <w:r>
        <w:rPr>
          <w:rFonts w:hint="eastAsia"/>
        </w:rPr>
        <w:t>缩略语</w:t>
      </w:r>
      <w:bookmarkEnd w:id="56"/>
      <w:bookmarkEnd w:id="57"/>
      <w:bookmarkEnd w:id="58"/>
      <w:bookmarkEnd w:id="59"/>
    </w:p>
    <w:p>
      <w:pPr>
        <w:pStyle w:val="60"/>
        <w:ind w:firstLine="420"/>
      </w:pPr>
      <w:r>
        <w:rPr>
          <w:rFonts w:hint="eastAsia"/>
        </w:rPr>
        <w:t>下列缩略语适用于本文件。</w:t>
      </w:r>
    </w:p>
    <w:p>
      <w:pPr>
        <w:pStyle w:val="60"/>
        <w:ind w:firstLine="420"/>
        <w:rPr>
          <w:szCs w:val="21"/>
        </w:rPr>
      </w:pPr>
      <w:r>
        <w:rPr>
          <w:rFonts w:hint="eastAsia" w:hAnsi="宋体"/>
        </w:rPr>
        <w:t>API：应用程序接口（Application Programming Interface）</w:t>
      </w:r>
    </w:p>
    <w:p>
      <w:pPr>
        <w:pStyle w:val="60"/>
        <w:ind w:firstLine="420"/>
      </w:pPr>
      <w:r>
        <w:rPr>
          <w:rFonts w:hint="eastAsia" w:hAnsi="宋体"/>
        </w:rPr>
        <w:t>CPU：中央处理器（central processing unit）</w:t>
      </w:r>
    </w:p>
    <w:p>
      <w:pPr>
        <w:pStyle w:val="60"/>
        <w:ind w:firstLine="420"/>
      </w:pPr>
      <w:r>
        <w:rPr>
          <w:rFonts w:hint="eastAsia" w:hAnsi="宋体"/>
        </w:rPr>
        <w:t>HTTP：超文本传输协议（HyperText Transfer Protocol）</w:t>
      </w:r>
    </w:p>
    <w:p>
      <w:pPr>
        <w:pStyle w:val="60"/>
        <w:ind w:firstLine="420"/>
      </w:pPr>
      <w:r>
        <w:rPr>
          <w:rFonts w:hint="eastAsia" w:hAnsi="宋体"/>
        </w:rPr>
        <w:t>JS：一种直译式脚本语言（JavaScript）</w:t>
      </w:r>
    </w:p>
    <w:p>
      <w:pPr>
        <w:pStyle w:val="60"/>
        <w:ind w:firstLine="420"/>
      </w:pPr>
      <w:r>
        <w:rPr>
          <w:rFonts w:hint="eastAsia" w:hAnsi="宋体"/>
        </w:rPr>
        <w:t>QPS：每秒查询率(Query Per Second)</w:t>
      </w:r>
    </w:p>
    <w:p>
      <w:pPr>
        <w:pStyle w:val="60"/>
        <w:ind w:firstLine="420"/>
      </w:pPr>
      <w:r>
        <w:rPr>
          <w:rFonts w:hint="eastAsia" w:hAnsi="宋体"/>
        </w:rPr>
        <w:t>RT：回归测试（Regression Testing）</w:t>
      </w:r>
    </w:p>
    <w:p>
      <w:pPr>
        <w:pStyle w:val="108"/>
        <w:spacing w:before="312" w:after="312"/>
      </w:pPr>
      <w:bookmarkStart w:id="62" w:name="_Toc89785963"/>
      <w:bookmarkStart w:id="63" w:name="_Toc89194096"/>
      <w:bookmarkStart w:id="64" w:name="_Toc89439206"/>
      <w:bookmarkStart w:id="65" w:name="_Toc91593881"/>
      <w:r>
        <w:t>基本要求</w:t>
      </w:r>
      <w:bookmarkEnd w:id="60"/>
      <w:bookmarkEnd w:id="61"/>
      <w:bookmarkEnd w:id="62"/>
      <w:bookmarkEnd w:id="63"/>
      <w:bookmarkEnd w:id="64"/>
      <w:bookmarkEnd w:id="65"/>
    </w:p>
    <w:p>
      <w:pPr>
        <w:pStyle w:val="109"/>
        <w:spacing w:before="156" w:after="156"/>
      </w:pPr>
      <w:bookmarkStart w:id="66" w:name="_Toc89439207"/>
      <w:bookmarkStart w:id="67" w:name="_Toc88583451"/>
      <w:bookmarkStart w:id="68" w:name="_Toc89073605"/>
      <w:bookmarkStart w:id="69" w:name="_Toc89785964"/>
      <w:bookmarkStart w:id="70" w:name="_Toc89194097"/>
      <w:bookmarkStart w:id="71" w:name="_Toc91593882"/>
      <w:r>
        <w:t>测试对象</w:t>
      </w:r>
      <w:bookmarkEnd w:id="66"/>
      <w:bookmarkEnd w:id="67"/>
      <w:bookmarkEnd w:id="68"/>
      <w:bookmarkEnd w:id="69"/>
      <w:bookmarkEnd w:id="70"/>
      <w:bookmarkEnd w:id="71"/>
    </w:p>
    <w:p>
      <w:pPr>
        <w:pStyle w:val="60"/>
        <w:ind w:firstLine="420"/>
      </w:pPr>
      <w:r>
        <w:rPr>
          <w:rFonts w:hint="eastAsia"/>
        </w:rPr>
        <w:t>测试对象包括应</w:t>
      </w:r>
      <w:r>
        <w:t>按</w:t>
      </w:r>
      <w:r>
        <w:rPr>
          <w:rFonts w:hint="eastAsia"/>
          <w:lang w:val="en-US" w:eastAsia="zh-Hans"/>
        </w:rPr>
        <w:t>SZSD</w:t>
      </w:r>
      <w:r>
        <w:rPr>
          <w:rFonts w:hint="eastAsia"/>
        </w:rPr>
        <w:t xml:space="preserve"> XXXX—2022《“山东通”平台 应用</w:t>
      </w:r>
      <w:r>
        <w:rPr>
          <w:rFonts w:hint="eastAsia"/>
          <w:lang w:val="en-US" w:eastAsia="zh-Hans"/>
        </w:rPr>
        <w:t>系统</w:t>
      </w:r>
      <w:r>
        <w:rPr>
          <w:rFonts w:hint="eastAsia"/>
        </w:rPr>
        <w:t>接入规范》要求接入“山东通”平台的应用系统。</w:t>
      </w:r>
    </w:p>
    <w:p>
      <w:pPr>
        <w:pStyle w:val="109"/>
        <w:spacing w:before="156" w:after="156"/>
      </w:pPr>
      <w:bookmarkStart w:id="72" w:name="_Toc89785965"/>
      <w:bookmarkStart w:id="73" w:name="_Toc89194098"/>
      <w:bookmarkStart w:id="74" w:name="_Toc89439208"/>
      <w:bookmarkStart w:id="75" w:name="_Toc89073606"/>
      <w:bookmarkStart w:id="76" w:name="_Toc88583452"/>
      <w:bookmarkStart w:id="77" w:name="_Toc91593883"/>
      <w:r>
        <w:t>测试环境</w:t>
      </w:r>
      <w:bookmarkEnd w:id="72"/>
      <w:bookmarkEnd w:id="73"/>
      <w:bookmarkEnd w:id="74"/>
      <w:bookmarkEnd w:id="75"/>
      <w:bookmarkEnd w:id="76"/>
      <w:bookmarkEnd w:id="77"/>
    </w:p>
    <w:p>
      <w:pPr>
        <w:pStyle w:val="69"/>
        <w:spacing w:before="156" w:after="156"/>
      </w:pPr>
      <w:r>
        <w:t>硬件环境</w:t>
      </w:r>
    </w:p>
    <w:p>
      <w:pPr>
        <w:pStyle w:val="60"/>
        <w:ind w:firstLine="420"/>
      </w:pPr>
      <w:r>
        <w:t>应明确</w:t>
      </w:r>
      <w:r>
        <w:rPr>
          <w:rFonts w:hint="eastAsia"/>
        </w:rPr>
        <w:t>应用系统</w:t>
      </w:r>
      <w:r>
        <w:t>测试</w:t>
      </w:r>
      <w:r>
        <w:rPr>
          <w:rFonts w:hint="eastAsia"/>
        </w:rPr>
        <w:t>时所</w:t>
      </w:r>
      <w:r>
        <w:t>需的服务器</w:t>
      </w:r>
      <w:r>
        <w:rPr>
          <w:rFonts w:hint="eastAsia"/>
        </w:rPr>
        <w:t>、</w:t>
      </w:r>
      <w:r>
        <w:t>客户端</w:t>
      </w:r>
      <w:r>
        <w:rPr>
          <w:rFonts w:hint="eastAsia"/>
        </w:rPr>
        <w:t>、</w:t>
      </w:r>
      <w:r>
        <w:t>网络连接设备</w:t>
      </w:r>
      <w:r>
        <w:rPr>
          <w:rFonts w:hint="eastAsia"/>
        </w:rPr>
        <w:t>、</w:t>
      </w:r>
      <w:r>
        <w:t>辅助硬件设备等硬件环境</w:t>
      </w:r>
      <w:r>
        <w:rPr>
          <w:rFonts w:hint="eastAsia"/>
        </w:rPr>
        <w:t>。</w:t>
      </w:r>
    </w:p>
    <w:p>
      <w:pPr>
        <w:pStyle w:val="69"/>
        <w:spacing w:before="156" w:after="156"/>
      </w:pPr>
      <w:r>
        <w:t>软件环境</w:t>
      </w:r>
    </w:p>
    <w:p>
      <w:pPr>
        <w:pStyle w:val="60"/>
        <w:ind w:firstLine="420"/>
      </w:pPr>
      <w:r>
        <w:rPr>
          <w:rFonts w:hint="eastAsia"/>
        </w:rPr>
        <w:t>应明确应用系统运行时所需的操作系统、数据库及“山东通”平台与应用系统所使用的软件等构成的环境信息。</w:t>
      </w:r>
    </w:p>
    <w:p>
      <w:pPr>
        <w:pStyle w:val="69"/>
        <w:spacing w:before="156" w:after="156"/>
      </w:pPr>
      <w:r>
        <w:t>样本数据</w:t>
      </w:r>
    </w:p>
    <w:p>
      <w:pPr>
        <w:pStyle w:val="60"/>
        <w:ind w:firstLine="420"/>
      </w:pPr>
      <w:r>
        <w:t>应提供能保证应用系统功能</w:t>
      </w:r>
      <w:r>
        <w:rPr>
          <w:rFonts w:hint="eastAsia"/>
        </w:rPr>
        <w:t>、</w:t>
      </w:r>
      <w:r>
        <w:t>性能等所需的各类样本数据</w:t>
      </w:r>
      <w:r>
        <w:rPr>
          <w:rFonts w:hint="eastAsia"/>
        </w:rPr>
        <w:t>。</w:t>
      </w:r>
    </w:p>
    <w:p>
      <w:pPr>
        <w:pStyle w:val="109"/>
        <w:spacing w:before="156" w:after="156"/>
      </w:pPr>
      <w:bookmarkStart w:id="78" w:name="_Toc89194099"/>
      <w:bookmarkStart w:id="79" w:name="_Toc91593884"/>
      <w:bookmarkStart w:id="80" w:name="_Toc89785966"/>
      <w:bookmarkStart w:id="81" w:name="_Toc89073607"/>
      <w:bookmarkStart w:id="82" w:name="_Toc88583453"/>
      <w:bookmarkStart w:id="83" w:name="_Toc89439209"/>
      <w:r>
        <w:rPr>
          <w:rFonts w:hint="eastAsia"/>
        </w:rPr>
        <w:t>测试配置</w:t>
      </w:r>
      <w:bookmarkEnd w:id="78"/>
      <w:bookmarkEnd w:id="79"/>
      <w:bookmarkEnd w:id="80"/>
      <w:bookmarkEnd w:id="81"/>
      <w:bookmarkEnd w:id="82"/>
      <w:bookmarkEnd w:id="83"/>
    </w:p>
    <w:p>
      <w:pPr>
        <w:pStyle w:val="60"/>
        <w:ind w:firstLine="420"/>
      </w:pPr>
      <w:r>
        <w:t>测试环境配置基本要求主要包括</w:t>
      </w:r>
      <w:r>
        <w:rPr>
          <w:rFonts w:hint="eastAsia"/>
        </w:rPr>
        <w:t>：</w:t>
      </w:r>
    </w:p>
    <w:p>
      <w:pPr>
        <w:pStyle w:val="178"/>
      </w:pPr>
      <w:r>
        <w:rPr>
          <w:rFonts w:hint="eastAsia"/>
        </w:rPr>
        <w:t>应保证“山东通”平台与应用系统的正常运行；</w:t>
      </w:r>
    </w:p>
    <w:p>
      <w:pPr>
        <w:pStyle w:val="178"/>
      </w:pPr>
      <w:r>
        <w:rPr>
          <w:rFonts w:hint="eastAsia"/>
        </w:rPr>
        <w:t>应</w:t>
      </w:r>
      <w:r>
        <w:t>选取</w:t>
      </w:r>
      <w:r>
        <w:rPr>
          <w:rFonts w:hint="eastAsia"/>
        </w:rPr>
        <w:t>“山东通”平台与应用系统运行兼容的操作系统等基础软件环境；</w:t>
      </w:r>
    </w:p>
    <w:p>
      <w:pPr>
        <w:pStyle w:val="178"/>
      </w:pPr>
      <w:r>
        <w:rPr>
          <w:rFonts w:hint="eastAsia"/>
        </w:rPr>
        <w:t>应</w:t>
      </w:r>
      <w:r>
        <w:t>利用杀毒软件检测软件环境</w:t>
      </w:r>
      <w:r>
        <w:rPr>
          <w:rFonts w:hint="eastAsia"/>
        </w:rPr>
        <w:t>，</w:t>
      </w:r>
      <w:r>
        <w:t>保证测试环境中没有病毒</w:t>
      </w:r>
      <w:r>
        <w:rPr>
          <w:rFonts w:hint="eastAsia"/>
        </w:rPr>
        <w:t>；</w:t>
      </w:r>
    </w:p>
    <w:p>
      <w:pPr>
        <w:pStyle w:val="178"/>
      </w:pPr>
      <w:r>
        <w:t>在生产环境具备测试条件时</w:t>
      </w:r>
      <w:r>
        <w:rPr>
          <w:rFonts w:hint="eastAsia"/>
        </w:rPr>
        <w:t>，</w:t>
      </w:r>
      <w:r>
        <w:t>可在生产环境下进行测试</w:t>
      </w:r>
      <w:r>
        <w:rPr>
          <w:rFonts w:hint="eastAsia"/>
        </w:rPr>
        <w:t>。</w:t>
      </w:r>
    </w:p>
    <w:p>
      <w:pPr>
        <w:pStyle w:val="108"/>
        <w:spacing w:before="312" w:after="312"/>
      </w:pPr>
      <w:bookmarkStart w:id="84" w:name="_Toc89194100"/>
      <w:bookmarkStart w:id="85" w:name="_Toc89439210"/>
      <w:bookmarkStart w:id="86" w:name="_Toc88583454"/>
      <w:bookmarkStart w:id="87" w:name="_Toc91593885"/>
      <w:bookmarkStart w:id="88" w:name="_Toc89785967"/>
      <w:bookmarkStart w:id="89" w:name="_Toc89073608"/>
      <w:r>
        <w:rPr>
          <w:rFonts w:hint="eastAsia"/>
        </w:rPr>
        <w:t>测试流程</w:t>
      </w:r>
      <w:bookmarkEnd w:id="84"/>
      <w:bookmarkEnd w:id="85"/>
      <w:bookmarkEnd w:id="86"/>
      <w:bookmarkEnd w:id="87"/>
      <w:bookmarkEnd w:id="88"/>
      <w:bookmarkEnd w:id="89"/>
    </w:p>
    <w:p>
      <w:pPr>
        <w:pStyle w:val="109"/>
        <w:spacing w:before="156" w:after="156"/>
      </w:pPr>
      <w:bookmarkStart w:id="90" w:name="_Toc89073609"/>
      <w:bookmarkStart w:id="91" w:name="_Toc89439211"/>
      <w:bookmarkStart w:id="92" w:name="_Toc91593886"/>
      <w:bookmarkStart w:id="93" w:name="_Toc89785968"/>
      <w:bookmarkStart w:id="94" w:name="_Toc88583455"/>
      <w:bookmarkStart w:id="95" w:name="_Toc89194101"/>
      <w:r>
        <w:rPr>
          <w:rFonts w:hint="eastAsia"/>
        </w:rPr>
        <w:t>测试申请</w:t>
      </w:r>
      <w:bookmarkEnd w:id="90"/>
      <w:bookmarkEnd w:id="91"/>
      <w:bookmarkEnd w:id="92"/>
      <w:bookmarkEnd w:id="93"/>
      <w:bookmarkEnd w:id="94"/>
      <w:bookmarkEnd w:id="95"/>
    </w:p>
    <w:p>
      <w:pPr>
        <w:pStyle w:val="60"/>
        <w:ind w:firstLine="420"/>
      </w:pPr>
      <w:r>
        <w:rPr>
          <w:rFonts w:hint="eastAsia"/>
        </w:rPr>
        <w:t>接入单位应向“山东通”平台主管部门提交测试申请，并向运营单位提交的测试验收资料。测试验收资料包括但不限于：</w:t>
      </w:r>
    </w:p>
    <w:p>
      <w:pPr>
        <w:pStyle w:val="178"/>
        <w:numPr>
          <w:ilvl w:val="0"/>
          <w:numId w:val="32"/>
        </w:numPr>
      </w:pPr>
      <w:r>
        <w:t>应用系统部署文档</w:t>
      </w:r>
      <w:r>
        <w:rPr>
          <w:rFonts w:hint="eastAsia"/>
        </w:rPr>
        <w:t>：包括</w:t>
      </w:r>
      <w:r>
        <w:t>应用系统基本信息、应用系统架构图、服务器列表等信息</w:t>
      </w:r>
      <w:r>
        <w:rPr>
          <w:rFonts w:hint="eastAsia"/>
        </w:rPr>
        <w:t>，</w:t>
      </w:r>
      <w:r>
        <w:t>文档内容要求参见附录</w:t>
      </w:r>
      <w:r>
        <w:rPr>
          <w:rFonts w:hint="eastAsia"/>
        </w:rPr>
        <w:t>A；</w:t>
      </w:r>
    </w:p>
    <w:p>
      <w:pPr>
        <w:pStyle w:val="178"/>
      </w:pPr>
      <w:r>
        <w:t>应用系统上线自查文档</w:t>
      </w:r>
      <w:r>
        <w:rPr>
          <w:rFonts w:hint="eastAsia"/>
        </w:rPr>
        <w:t>：包括应用系统基本信息、联络人员信息、应用系统可见范围和权限申请范围等信息，文档内容要求参见附录B；</w:t>
      </w:r>
    </w:p>
    <w:p>
      <w:pPr>
        <w:pStyle w:val="178"/>
      </w:pPr>
      <w:r>
        <w:t>安全报告</w:t>
      </w:r>
      <w:r>
        <w:rPr>
          <w:rFonts w:hint="eastAsia"/>
        </w:rPr>
        <w:t>：第三方评测机构提供的</w:t>
      </w:r>
      <w:r>
        <w:t>信息系统安全等级保护</w:t>
      </w:r>
      <w:r>
        <w:rPr>
          <w:rFonts w:hint="eastAsia"/>
        </w:rPr>
        <w:t>测评</w:t>
      </w:r>
      <w:r>
        <w:t>报告</w:t>
      </w:r>
      <w:r>
        <w:rPr>
          <w:rFonts w:hint="eastAsia"/>
        </w:rPr>
        <w:t>，</w:t>
      </w:r>
      <w:r>
        <w:t>测试内容要求应符合</w:t>
      </w:r>
      <w:r>
        <w:rPr>
          <w:rFonts w:hint="eastAsia"/>
        </w:rPr>
        <w:t>GB/T 22239—2019的相关规定；</w:t>
      </w:r>
    </w:p>
    <w:p>
      <w:pPr>
        <w:pStyle w:val="178"/>
      </w:pPr>
      <w:r>
        <w:t>压测报告</w:t>
      </w:r>
      <w:r>
        <w:rPr>
          <w:rFonts w:hint="eastAsia"/>
        </w:rPr>
        <w:t>：</w:t>
      </w:r>
      <w:r>
        <w:t>包括压测方法</w:t>
      </w:r>
      <w:r>
        <w:rPr>
          <w:rFonts w:hint="eastAsia"/>
        </w:rPr>
        <w:t>、</w:t>
      </w:r>
      <w:r>
        <w:t>压测工具</w:t>
      </w:r>
      <w:r>
        <w:rPr>
          <w:rFonts w:hint="eastAsia"/>
        </w:rPr>
        <w:t>、</w:t>
      </w:r>
      <w:r>
        <w:t>配置环境</w:t>
      </w:r>
      <w:r>
        <w:rPr>
          <w:rFonts w:hint="eastAsia"/>
        </w:rPr>
        <w:t>、</w:t>
      </w:r>
      <w:r>
        <w:t>压测内容</w:t>
      </w:r>
      <w:r>
        <w:rPr>
          <w:rFonts w:hint="eastAsia"/>
        </w:rPr>
        <w:t>、压测场景、压测过程、压测总结等信息，压测报告内容参见附录C；</w:t>
      </w:r>
    </w:p>
    <w:p>
      <w:pPr>
        <w:pStyle w:val="178"/>
      </w:pPr>
      <w:r>
        <w:t>应急预案</w:t>
      </w:r>
      <w:r>
        <w:rPr>
          <w:rFonts w:hint="eastAsia"/>
        </w:rPr>
        <w:t>：包括应急预案设计思路、主要目标、</w:t>
      </w:r>
      <w:r>
        <w:t>应用系统备份与恢复方案、应用系统故障处理</w:t>
      </w:r>
      <w:r>
        <w:rPr>
          <w:rFonts w:hint="eastAsia"/>
        </w:rPr>
        <w:t>联系人</w:t>
      </w:r>
      <w:r>
        <w:t>、应用系统</w:t>
      </w:r>
      <w:r>
        <w:rPr>
          <w:rFonts w:hint="eastAsia"/>
        </w:rPr>
        <w:t>故障</w:t>
      </w:r>
      <w:r>
        <w:t>处理预案等信息</w:t>
      </w:r>
      <w:r>
        <w:rPr>
          <w:rFonts w:hint="eastAsia"/>
        </w:rPr>
        <w:t>，</w:t>
      </w:r>
      <w:r>
        <w:t>应急预案内容要求参见附录</w:t>
      </w:r>
      <w:r>
        <w:rPr>
          <w:rFonts w:hint="eastAsia"/>
        </w:rPr>
        <w:t>D；</w:t>
      </w:r>
    </w:p>
    <w:p>
      <w:pPr>
        <w:pStyle w:val="178"/>
      </w:pPr>
      <w:r>
        <w:t>应用系统测试账号</w:t>
      </w:r>
      <w:r>
        <w:rPr>
          <w:rFonts w:hint="eastAsia"/>
        </w:rPr>
        <w:t>：接入</w:t>
      </w:r>
      <w:r>
        <w:t>单位应向</w:t>
      </w:r>
      <w:r>
        <w:rPr>
          <w:rFonts w:hint="eastAsia"/>
        </w:rPr>
        <w:t>平台主管</w:t>
      </w:r>
      <w:r>
        <w:t>部门开放应用系统测试账号使用授权。</w:t>
      </w:r>
    </w:p>
    <w:p>
      <w:pPr>
        <w:pStyle w:val="109"/>
        <w:spacing w:before="156" w:after="156"/>
      </w:pPr>
      <w:bookmarkStart w:id="96" w:name="_Toc88583456"/>
      <w:bookmarkStart w:id="97" w:name="_Toc91593887"/>
      <w:bookmarkStart w:id="98" w:name="_Toc89785969"/>
      <w:bookmarkStart w:id="99" w:name="_Toc89073610"/>
      <w:bookmarkStart w:id="100" w:name="_Toc89194102"/>
      <w:bookmarkStart w:id="101" w:name="_Toc89439212"/>
      <w:r>
        <w:t>测试准备</w:t>
      </w:r>
      <w:bookmarkEnd w:id="96"/>
      <w:bookmarkEnd w:id="97"/>
      <w:bookmarkEnd w:id="98"/>
      <w:bookmarkEnd w:id="99"/>
      <w:bookmarkEnd w:id="100"/>
      <w:bookmarkEnd w:id="101"/>
    </w:p>
    <w:p>
      <w:pPr>
        <w:pStyle w:val="60"/>
        <w:ind w:firstLine="420"/>
      </w:pPr>
      <w:r>
        <w:rPr>
          <w:rFonts w:hint="eastAsia"/>
        </w:rPr>
        <w:t>“山东通”平台主管部门审核接入单位提交的测试验收申请资料。</w:t>
      </w:r>
      <w:r>
        <w:t>运营单位根据接入单位提交的测试验收资料</w:t>
      </w:r>
      <w:r>
        <w:rPr>
          <w:rFonts w:hint="eastAsia"/>
        </w:rPr>
        <w:t>，按GB/T 9386—2008第4章的相关规定制定测试计划，开展应用系统</w:t>
      </w:r>
      <w:r>
        <w:t>测试验收</w:t>
      </w:r>
      <w:r>
        <w:rPr>
          <w:rFonts w:hint="eastAsia"/>
        </w:rPr>
        <w:t>。</w:t>
      </w:r>
    </w:p>
    <w:p>
      <w:pPr>
        <w:pStyle w:val="109"/>
        <w:spacing w:before="156" w:after="156"/>
      </w:pPr>
      <w:bookmarkStart w:id="102" w:name="_Toc91593888"/>
      <w:bookmarkStart w:id="103" w:name="_Toc89194103"/>
      <w:bookmarkStart w:id="104" w:name="_Toc89439213"/>
      <w:bookmarkStart w:id="105" w:name="_Toc88583457"/>
      <w:bookmarkStart w:id="106" w:name="_Toc89785970"/>
      <w:bookmarkStart w:id="107" w:name="_Toc89073611"/>
      <w:r>
        <w:rPr>
          <w:rFonts w:hint="eastAsia"/>
        </w:rPr>
        <w:t>测试设计</w:t>
      </w:r>
      <w:bookmarkEnd w:id="102"/>
      <w:bookmarkEnd w:id="103"/>
      <w:bookmarkEnd w:id="104"/>
      <w:bookmarkEnd w:id="105"/>
      <w:bookmarkEnd w:id="106"/>
      <w:bookmarkEnd w:id="107"/>
    </w:p>
    <w:p>
      <w:pPr>
        <w:pStyle w:val="60"/>
        <w:ind w:firstLine="420"/>
      </w:pPr>
      <w:r>
        <w:rPr>
          <w:rFonts w:hint="eastAsia"/>
        </w:rPr>
        <w:t>测试设计要求如下：</w:t>
      </w:r>
    </w:p>
    <w:p>
      <w:pPr>
        <w:pStyle w:val="178"/>
        <w:numPr>
          <w:ilvl w:val="0"/>
          <w:numId w:val="33"/>
        </w:numPr>
      </w:pPr>
      <w:r>
        <w:rPr>
          <w:rFonts w:hint="eastAsia"/>
        </w:rPr>
        <w:t>依据被测应用系统对应的测试要求，分析并选用对应的测试用例，必要时补充设计测试用例，测试用例设计原则主要包括：</w:t>
      </w:r>
    </w:p>
    <w:p>
      <w:pPr>
        <w:pStyle w:val="113"/>
      </w:pPr>
      <w:r>
        <w:t>基于测试需求原则</w:t>
      </w:r>
      <w:r>
        <w:rPr>
          <w:rFonts w:hint="eastAsia"/>
        </w:rPr>
        <w:t>：按照应用系统的不同测试需求，测试数据标准符合性测试用例；</w:t>
      </w:r>
    </w:p>
    <w:p>
      <w:pPr>
        <w:pStyle w:val="113"/>
      </w:pPr>
      <w:r>
        <w:rPr>
          <w:rFonts w:hint="eastAsia"/>
        </w:rPr>
        <w:t>基于测试方法原则：为满足测试充分性需求，测试用例的设计应采用等价类划分法、边界值分析法、猜错法等；</w:t>
      </w:r>
    </w:p>
    <w:p>
      <w:pPr>
        <w:pStyle w:val="113"/>
      </w:pPr>
      <w:r>
        <w:rPr>
          <w:rFonts w:hint="eastAsia"/>
        </w:rPr>
        <w:t>测试过程的可再现性原则：测试用例设计应保证测试用例执行过程和结果的可再现性；</w:t>
      </w:r>
    </w:p>
    <w:p>
      <w:pPr>
        <w:pStyle w:val="113"/>
      </w:pPr>
      <w:r>
        <w:rPr>
          <w:rFonts w:hint="eastAsia"/>
        </w:rPr>
        <w:t>测试用例易管理性原则：测试用例设计应遵循正向测试和反向测试用例分开的原则，易于整合配置形成对测试项的测试用例集，易于管理。</w:t>
      </w:r>
    </w:p>
    <w:p>
      <w:pPr>
        <w:pStyle w:val="178"/>
      </w:pPr>
      <w:r>
        <w:rPr>
          <w:rFonts w:hint="eastAsia"/>
        </w:rPr>
        <w:t>配置测试参数，确定测试用例的执行流程；</w:t>
      </w:r>
    </w:p>
    <w:p>
      <w:pPr>
        <w:pStyle w:val="178"/>
      </w:pPr>
      <w:r>
        <w:rPr>
          <w:rFonts w:hint="eastAsia"/>
        </w:rPr>
        <w:t>完成测试就绪评审，主要评审测试计划的合理性和测试用例的正确性、有效性和覆盖充分性，评审测试组织、环境、设备工具和检查表是否具备且符合要求。</w:t>
      </w:r>
    </w:p>
    <w:p>
      <w:pPr>
        <w:pStyle w:val="109"/>
        <w:spacing w:before="156" w:after="156"/>
      </w:pPr>
      <w:bookmarkStart w:id="108" w:name="_Toc89073612"/>
      <w:bookmarkStart w:id="109" w:name="_Toc89785971"/>
      <w:bookmarkStart w:id="110" w:name="_Toc91593889"/>
      <w:bookmarkStart w:id="111" w:name="_Toc89194104"/>
      <w:bookmarkStart w:id="112" w:name="_Toc89439214"/>
      <w:bookmarkStart w:id="113" w:name="_Toc88583458"/>
      <w:r>
        <w:t>测试实施</w:t>
      </w:r>
      <w:bookmarkEnd w:id="108"/>
      <w:bookmarkEnd w:id="109"/>
      <w:bookmarkEnd w:id="110"/>
      <w:bookmarkEnd w:id="111"/>
      <w:bookmarkEnd w:id="112"/>
      <w:bookmarkEnd w:id="113"/>
    </w:p>
    <w:p>
      <w:pPr>
        <w:pStyle w:val="60"/>
        <w:ind w:firstLine="420"/>
      </w:pPr>
      <w:r>
        <w:rPr>
          <w:rFonts w:hint="eastAsia"/>
        </w:rPr>
        <w:t>执行选定的测试用例，获取和记录测试结果数据，分析并判定测试结果。对测试过程的正常或异常终止情况进行核对，根据核对结果对未达到测试终止条件的测试用例决定是停止测试还是需要修改或补充测试用例，再次测试。对测试中发现的符合性问题列表、汇总和分析。</w:t>
      </w:r>
    </w:p>
    <w:p>
      <w:pPr>
        <w:pStyle w:val="109"/>
        <w:spacing w:before="156" w:after="156"/>
      </w:pPr>
      <w:bookmarkStart w:id="114" w:name="_Toc88583459"/>
      <w:bookmarkStart w:id="115" w:name="_Toc89194105"/>
      <w:bookmarkStart w:id="116" w:name="_Toc89073613"/>
      <w:bookmarkStart w:id="117" w:name="_Toc89439215"/>
      <w:bookmarkStart w:id="118" w:name="_Toc91593890"/>
      <w:bookmarkStart w:id="119" w:name="_Toc89785972"/>
      <w:r>
        <w:t>测试总结</w:t>
      </w:r>
      <w:bookmarkEnd w:id="114"/>
      <w:bookmarkEnd w:id="115"/>
      <w:bookmarkEnd w:id="116"/>
      <w:bookmarkEnd w:id="117"/>
      <w:bookmarkEnd w:id="118"/>
      <w:bookmarkEnd w:id="119"/>
    </w:p>
    <w:p>
      <w:pPr>
        <w:pStyle w:val="60"/>
        <w:ind w:firstLine="420"/>
      </w:pPr>
      <w:r>
        <w:rPr>
          <w:rFonts w:hint="eastAsia"/>
        </w:rPr>
        <w:t>整理、分析测试执行过程中产生的测试数据，对所有测试项的测试结果进行结果判定，完成应用系统验收测试报告。测试验收结果通过的判定准则包括但不限于：</w:t>
      </w:r>
    </w:p>
    <w:p>
      <w:pPr>
        <w:pStyle w:val="178"/>
        <w:numPr>
          <w:ilvl w:val="0"/>
          <w:numId w:val="34"/>
        </w:numPr>
      </w:pPr>
      <w:r>
        <w:t>安全性符合要求</w:t>
      </w:r>
      <w:r>
        <w:rPr>
          <w:rFonts w:hint="eastAsia"/>
        </w:rPr>
        <w:t>；</w:t>
      </w:r>
    </w:p>
    <w:p>
      <w:pPr>
        <w:pStyle w:val="178"/>
      </w:pPr>
      <w:r>
        <w:rPr>
          <w:rFonts w:hint="eastAsia"/>
        </w:rPr>
        <w:t>稳定</w:t>
      </w:r>
      <w:r>
        <w:t>性符合要求</w:t>
      </w:r>
      <w:r>
        <w:rPr>
          <w:rFonts w:hint="eastAsia"/>
        </w:rPr>
        <w:t>；</w:t>
      </w:r>
    </w:p>
    <w:p>
      <w:pPr>
        <w:pStyle w:val="178"/>
      </w:pPr>
      <w:r>
        <w:rPr>
          <w:rFonts w:hint="eastAsia"/>
        </w:rPr>
        <w:t>应用系统在“山东通”平台提供功能</w:t>
      </w:r>
      <w:r>
        <w:t>完整性符合要求</w:t>
      </w:r>
      <w:r>
        <w:rPr>
          <w:rFonts w:hint="eastAsia"/>
        </w:rPr>
        <w:t>；</w:t>
      </w:r>
    </w:p>
    <w:p>
      <w:pPr>
        <w:pStyle w:val="178"/>
      </w:pPr>
      <w:r>
        <w:rPr>
          <w:rFonts w:hint="eastAsia"/>
        </w:rPr>
        <w:t>交互</w:t>
      </w:r>
      <w:r>
        <w:t>性符合要求</w:t>
      </w:r>
      <w:r>
        <w:rPr>
          <w:rFonts w:hint="eastAsia"/>
        </w:rPr>
        <w:t>；</w:t>
      </w:r>
    </w:p>
    <w:p>
      <w:pPr>
        <w:pStyle w:val="178"/>
      </w:pPr>
      <w:r>
        <w:t>界面设计规范性要求</w:t>
      </w:r>
      <w:r>
        <w:rPr>
          <w:rFonts w:hint="eastAsia"/>
        </w:rPr>
        <w:t>；</w:t>
      </w:r>
    </w:p>
    <w:p>
      <w:pPr>
        <w:pStyle w:val="178"/>
      </w:pPr>
      <w:r>
        <w:t>文档质量符合要求</w:t>
      </w:r>
      <w:r>
        <w:rPr>
          <w:rFonts w:hint="eastAsia"/>
        </w:rPr>
        <w:t>。</w:t>
      </w:r>
    </w:p>
    <w:p>
      <w:pPr>
        <w:pStyle w:val="60"/>
        <w:ind w:firstLine="420"/>
      </w:pPr>
      <w:r>
        <w:rPr>
          <w:rFonts w:hint="eastAsia"/>
        </w:rPr>
        <w:t>测试验收结果存在不合格项时，反馈接入单位在规定时间内进行整改，整改后进行复测。</w:t>
      </w:r>
    </w:p>
    <w:p>
      <w:pPr>
        <w:pStyle w:val="108"/>
        <w:spacing w:before="312" w:after="312"/>
      </w:pPr>
      <w:bookmarkStart w:id="120" w:name="_Toc89439216"/>
      <w:bookmarkStart w:id="121" w:name="_Toc91593891"/>
      <w:bookmarkStart w:id="122" w:name="_Toc88583460"/>
      <w:bookmarkStart w:id="123" w:name="_Toc89073614"/>
      <w:bookmarkStart w:id="124" w:name="_Toc89785973"/>
      <w:bookmarkStart w:id="125" w:name="_Toc89194106"/>
      <w:r>
        <w:rPr>
          <w:rFonts w:hint="eastAsia"/>
        </w:rPr>
        <w:t>测试内容</w:t>
      </w:r>
      <w:bookmarkEnd w:id="120"/>
      <w:bookmarkEnd w:id="121"/>
      <w:bookmarkEnd w:id="122"/>
      <w:bookmarkEnd w:id="123"/>
      <w:bookmarkEnd w:id="124"/>
      <w:bookmarkEnd w:id="125"/>
    </w:p>
    <w:p>
      <w:pPr>
        <w:pStyle w:val="109"/>
        <w:spacing w:before="156" w:after="156"/>
      </w:pPr>
      <w:bookmarkStart w:id="126" w:name="_Toc89194107"/>
      <w:bookmarkStart w:id="127" w:name="_Toc89073615"/>
      <w:bookmarkStart w:id="128" w:name="_Toc89439217"/>
      <w:bookmarkStart w:id="129" w:name="_Toc91593892"/>
      <w:bookmarkStart w:id="130" w:name="_Toc88583461"/>
      <w:bookmarkStart w:id="131" w:name="_Toc89785974"/>
      <w:r>
        <w:rPr>
          <w:rFonts w:hint="eastAsia"/>
        </w:rPr>
        <w:t>安全性</w:t>
      </w:r>
      <w:bookmarkEnd w:id="126"/>
      <w:bookmarkEnd w:id="127"/>
      <w:bookmarkEnd w:id="128"/>
      <w:bookmarkEnd w:id="129"/>
      <w:bookmarkEnd w:id="130"/>
      <w:bookmarkEnd w:id="131"/>
    </w:p>
    <w:p>
      <w:pPr>
        <w:pStyle w:val="60"/>
        <w:ind w:firstLine="420"/>
      </w:pPr>
      <w:r>
        <w:rPr>
          <w:rFonts w:hint="eastAsia"/>
        </w:rPr>
        <w:t>应用系统申请上线时，接入单位应选择具备信息安全服务相关资质的第三方机构进行系统安全性评估。</w:t>
      </w:r>
    </w:p>
    <w:p>
      <w:pPr>
        <w:pStyle w:val="109"/>
        <w:spacing w:before="156" w:after="156"/>
      </w:pPr>
      <w:bookmarkStart w:id="132" w:name="_Toc88583462"/>
      <w:bookmarkStart w:id="133" w:name="_Toc89194108"/>
      <w:bookmarkStart w:id="134" w:name="_Toc91593893"/>
      <w:bookmarkStart w:id="135" w:name="_Toc89439218"/>
      <w:bookmarkStart w:id="136" w:name="_Toc89785975"/>
      <w:bookmarkStart w:id="137" w:name="_Toc89073616"/>
      <w:r>
        <w:rPr>
          <w:rFonts w:hint="eastAsia"/>
        </w:rPr>
        <w:t>稳定性</w:t>
      </w:r>
      <w:bookmarkEnd w:id="132"/>
      <w:bookmarkEnd w:id="133"/>
      <w:bookmarkEnd w:id="134"/>
      <w:bookmarkEnd w:id="135"/>
      <w:bookmarkEnd w:id="136"/>
      <w:bookmarkEnd w:id="137"/>
    </w:p>
    <w:p>
      <w:pPr>
        <w:pStyle w:val="60"/>
        <w:ind w:firstLine="420"/>
        <w:rPr>
          <w:szCs w:val="21"/>
        </w:rPr>
      </w:pPr>
      <w:r>
        <w:rPr>
          <w:rFonts w:hint="eastAsia" w:hAnsi="宋体"/>
        </w:rPr>
        <w:t>新申请上线应用系统在相关稳定性指标进行压测，稳定性指标说明见表</w:t>
      </w:r>
      <w:r>
        <w:rPr>
          <w:rFonts w:hint="eastAsia"/>
        </w:rPr>
        <w:t>1。</w:t>
      </w:r>
    </w:p>
    <w:p>
      <w:pPr>
        <w:pStyle w:val="116"/>
        <w:numPr>
          <w:ilvl w:val="0"/>
          <w:numId w:val="35"/>
        </w:numPr>
        <w:tabs>
          <w:tab w:val="clear" w:pos="0"/>
        </w:tabs>
        <w:spacing w:before="156" w:after="156"/>
      </w:pPr>
      <w:r>
        <w:rPr>
          <w:rFonts w:hint="eastAsia" w:hAnsi="黑体"/>
        </w:rPr>
        <w:t>稳定性指标说明</w:t>
      </w:r>
    </w:p>
    <w:tbl>
      <w:tblPr>
        <w:tblStyle w:val="37"/>
        <w:tblW w:w="93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50"/>
        <w:gridCol w:w="2551"/>
        <w:gridCol w:w="5233"/>
      </w:tblGrid>
      <w:tr>
        <w:trPr>
          <w:jc w:val="center"/>
        </w:trPr>
        <w:tc>
          <w:tcPr>
            <w:tcW w:w="1550" w:type="dxa"/>
            <w:tcBorders>
              <w:top w:val="single" w:color="auto" w:sz="8" w:space="0"/>
              <w:left w:val="single" w:color="auto" w:sz="8" w:space="0"/>
              <w:bottom w:val="single" w:color="auto" w:sz="8" w:space="0"/>
              <w:right w:val="single" w:color="auto" w:sz="4" w:space="0"/>
            </w:tcBorders>
            <w:shd w:val="clear" w:color="auto" w:fill="auto"/>
            <w:vAlign w:val="center"/>
          </w:tcPr>
          <w:p>
            <w:pPr>
              <w:pStyle w:val="182"/>
            </w:pPr>
            <w:r>
              <w:rPr>
                <w:rFonts w:hint="eastAsia" w:hAnsi="宋体"/>
              </w:rPr>
              <w:t>序号</w:t>
            </w:r>
          </w:p>
        </w:tc>
        <w:tc>
          <w:tcPr>
            <w:tcW w:w="2551" w:type="dxa"/>
            <w:tcBorders>
              <w:top w:val="single" w:color="auto" w:sz="8" w:space="0"/>
              <w:left w:val="single" w:color="auto" w:sz="4" w:space="0"/>
              <w:bottom w:val="single" w:color="auto" w:sz="8" w:space="0"/>
              <w:right w:val="single" w:color="auto" w:sz="4" w:space="0"/>
            </w:tcBorders>
            <w:shd w:val="clear" w:color="auto" w:fill="auto"/>
            <w:vAlign w:val="center"/>
          </w:tcPr>
          <w:p>
            <w:pPr>
              <w:pStyle w:val="182"/>
            </w:pPr>
            <w:r>
              <w:rPr>
                <w:rFonts w:hint="eastAsia" w:hAnsi="宋体"/>
              </w:rPr>
              <w:t>稳定性指标</w:t>
            </w:r>
          </w:p>
        </w:tc>
        <w:tc>
          <w:tcPr>
            <w:tcW w:w="5233" w:type="dxa"/>
            <w:tcBorders>
              <w:top w:val="single" w:color="auto" w:sz="8" w:space="0"/>
              <w:left w:val="single" w:color="auto" w:sz="4" w:space="0"/>
              <w:bottom w:val="single" w:color="auto" w:sz="8" w:space="0"/>
              <w:right w:val="single" w:color="auto" w:sz="8" w:space="0"/>
            </w:tcBorders>
            <w:shd w:val="clear" w:color="auto" w:fill="auto"/>
            <w:vAlign w:val="center"/>
          </w:tcPr>
          <w:p>
            <w:pPr>
              <w:pStyle w:val="182"/>
            </w:pPr>
            <w:r>
              <w:rPr>
                <w:rFonts w:hint="eastAsia" w:hAnsi="宋体"/>
              </w:rPr>
              <w:t>说明</w:t>
            </w:r>
          </w:p>
        </w:tc>
      </w:tr>
      <w:tr>
        <w:trPr>
          <w:jc w:val="center"/>
        </w:trPr>
        <w:tc>
          <w:tcPr>
            <w:tcW w:w="1550" w:type="dxa"/>
            <w:tcBorders>
              <w:top w:val="single" w:color="auto" w:sz="8"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8"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QPS</w:t>
            </w:r>
          </w:p>
        </w:tc>
        <w:tc>
          <w:tcPr>
            <w:tcW w:w="5233" w:type="dxa"/>
            <w:tcBorders>
              <w:top w:val="single" w:color="auto" w:sz="8" w:space="0"/>
              <w:left w:val="single" w:color="auto" w:sz="4" w:space="0"/>
              <w:bottom w:val="single" w:color="auto" w:sz="4" w:space="0"/>
              <w:right w:val="single" w:color="auto" w:sz="8" w:space="0"/>
            </w:tcBorders>
            <w:shd w:val="clear" w:color="auto" w:fill="auto"/>
            <w:vAlign w:val="center"/>
          </w:tcPr>
          <w:p>
            <w:pPr>
              <w:pStyle w:val="182"/>
              <w:jc w:val="both"/>
            </w:pPr>
            <w:r>
              <w:rPr>
                <w:rFonts w:hint="eastAsia" w:hAnsi="宋体"/>
                <w:color w:val="404040"/>
                <w:shd w:val="clear" w:color="auto" w:fill="FFFFFF"/>
              </w:rPr>
              <w:t>测试应用系统服务器</w:t>
            </w:r>
            <w:r>
              <w:rPr>
                <w:rFonts w:hAnsi="宋体"/>
                <w:color w:val="404040"/>
                <w:shd w:val="clear" w:color="auto" w:fill="FFFFFF"/>
              </w:rPr>
              <w:t>在规定时间内所处理流量</w:t>
            </w:r>
            <w:r>
              <w:rPr>
                <w:rFonts w:hint="eastAsia" w:hAnsi="宋体"/>
                <w:color w:val="404040"/>
                <w:shd w:val="clear" w:color="auto" w:fill="FFFFFF"/>
              </w:rPr>
              <w:t>的数量</w:t>
            </w:r>
          </w:p>
        </w:tc>
      </w:tr>
      <w:tr>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首页完全加载时间</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pPr>
            <w:r>
              <w:rPr>
                <w:rFonts w:hint="eastAsia" w:hAnsi="宋体"/>
                <w:color w:val="404040"/>
                <w:shd w:val="clear" w:color="auto" w:fill="FFFFFF"/>
              </w:rPr>
              <w:t>测试应用系统首页完全加载所需的时间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前端</w:t>
            </w:r>
            <w:r>
              <w:rPr>
                <w:rFonts w:hint="eastAsia"/>
              </w:rPr>
              <w:t>JS异常次数</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pPr>
            <w:r>
              <w:rPr>
                <w:rFonts w:hint="eastAsia" w:hAnsi="宋体"/>
                <w:color w:val="404040"/>
                <w:shd w:val="clear" w:color="auto" w:fill="FFFFFF"/>
              </w:rPr>
              <w:t>测试应用系统</w:t>
            </w:r>
            <w:r>
              <w:rPr>
                <w:rFonts w:hint="eastAsia" w:hAnsi="宋体"/>
              </w:rPr>
              <w:t>前端</w:t>
            </w:r>
            <w:r>
              <w:rPr>
                <w:rFonts w:hint="eastAsia"/>
              </w:rPr>
              <w:t>JS发生异常的次数</w:t>
            </w:r>
          </w:p>
        </w:tc>
      </w:tr>
      <w:tr>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白屏出现率</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pPr>
            <w:r>
              <w:rPr>
                <w:rFonts w:hint="eastAsia" w:hAnsi="宋体"/>
                <w:color w:val="404040"/>
                <w:shd w:val="clear" w:color="auto" w:fill="FFFFFF"/>
              </w:rPr>
              <w:t>测试应用系统出现页面空白情况的几率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前端资源加载异常次数</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pPr>
            <w:r>
              <w:rPr>
                <w:rFonts w:hint="eastAsia" w:hAnsi="宋体"/>
                <w:color w:val="404040"/>
                <w:shd w:val="clear" w:color="auto" w:fill="FFFFFF"/>
              </w:rPr>
              <w:t>测试应用系统</w:t>
            </w:r>
            <w:r>
              <w:rPr>
                <w:rFonts w:hint="eastAsia" w:hAnsi="宋体"/>
              </w:rPr>
              <w:t>前端资源加载发生异常的次数</w:t>
            </w:r>
          </w:p>
        </w:tc>
      </w:tr>
      <w:tr>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API调用成功率</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w:t>
            </w:r>
            <w:r>
              <w:rPr>
                <w:rFonts w:hint="eastAsia" w:hAnsi="宋体"/>
              </w:rPr>
              <w:t>API接口调用成功</w:t>
            </w:r>
            <w:r>
              <w:rPr>
                <w:rFonts w:hint="eastAsia" w:hAnsi="宋体"/>
                <w:color w:val="404040"/>
                <w:shd w:val="clear" w:color="auto" w:fill="FFFFFF"/>
              </w:rPr>
              <w:t>的几率</w:t>
            </w:r>
          </w:p>
        </w:tc>
      </w:tr>
      <w:tr>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首屏页面占用资源</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测试应用系统首页占用的资源大小</w:t>
            </w:r>
          </w:p>
        </w:tc>
      </w:tr>
      <w:tr>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接口峰值</w:t>
            </w:r>
            <w:r>
              <w:rPr>
                <w:rFonts w:hint="eastAsia"/>
              </w:rPr>
              <w:t>RT</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测试应用系统接口处于峰值时的响应时间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峰值错误率</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测试应用系统接口处于峰值时的页面返回错误的几率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单核平均峰值</w:t>
            </w:r>
            <w:r>
              <w:rPr>
                <w:rFonts w:hint="eastAsia"/>
              </w:rPr>
              <w:t>CPU利用率</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测试应用系统在平均峰值时单核CPU的利用率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单核平均峰值</w:t>
            </w:r>
            <w:r>
              <w:rPr>
                <w:rFonts w:hint="eastAsia"/>
              </w:rPr>
              <w:t>LOAD</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测试应用系统在平均峰值时单核CPU的负载情况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4"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82"/>
            </w:pPr>
            <w:r>
              <w:rPr>
                <w:rFonts w:hint="eastAsia" w:hAnsi="宋体"/>
              </w:rPr>
              <w:t>峰值内存利用率</w:t>
            </w:r>
          </w:p>
        </w:tc>
        <w:tc>
          <w:tcPr>
            <w:tcW w:w="5233" w:type="dxa"/>
            <w:tcBorders>
              <w:top w:val="single" w:color="auto" w:sz="4" w:space="0"/>
              <w:left w:val="single" w:color="auto" w:sz="4" w:space="0"/>
              <w:bottom w:val="single" w:color="auto" w:sz="4"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测试应用系统在峰值时的内存利用率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50" w:type="dxa"/>
            <w:tcBorders>
              <w:top w:val="single" w:color="auto" w:sz="4" w:space="0"/>
              <w:left w:val="single" w:color="auto" w:sz="8" w:space="0"/>
              <w:bottom w:val="single" w:color="auto" w:sz="8" w:space="0"/>
              <w:right w:val="single" w:color="auto" w:sz="4" w:space="0"/>
            </w:tcBorders>
            <w:shd w:val="clear" w:color="auto" w:fill="auto"/>
            <w:vAlign w:val="center"/>
          </w:tcPr>
          <w:p>
            <w:pPr>
              <w:pStyle w:val="182"/>
              <w:numPr>
                <w:ilvl w:val="0"/>
                <w:numId w:val="36"/>
              </w:numPr>
            </w:pPr>
          </w:p>
        </w:tc>
        <w:tc>
          <w:tcPr>
            <w:tcW w:w="2551" w:type="dxa"/>
            <w:tcBorders>
              <w:top w:val="single" w:color="auto" w:sz="4" w:space="0"/>
              <w:left w:val="single" w:color="auto" w:sz="4" w:space="0"/>
              <w:bottom w:val="single" w:color="auto" w:sz="8" w:space="0"/>
              <w:right w:val="single" w:color="auto" w:sz="4" w:space="0"/>
            </w:tcBorders>
            <w:shd w:val="clear" w:color="auto" w:fill="auto"/>
            <w:vAlign w:val="center"/>
          </w:tcPr>
          <w:p>
            <w:pPr>
              <w:pStyle w:val="182"/>
            </w:pPr>
            <w:r>
              <w:rPr>
                <w:rFonts w:hint="eastAsia" w:hAnsi="宋体"/>
              </w:rPr>
              <w:t>流量超限机制</w:t>
            </w:r>
          </w:p>
        </w:tc>
        <w:tc>
          <w:tcPr>
            <w:tcW w:w="5233" w:type="dxa"/>
            <w:tcBorders>
              <w:top w:val="single" w:color="auto" w:sz="4" w:space="0"/>
              <w:left w:val="single" w:color="auto" w:sz="4" w:space="0"/>
              <w:bottom w:val="single" w:color="auto" w:sz="8" w:space="0"/>
              <w:right w:val="single" w:color="auto" w:sz="8" w:space="0"/>
            </w:tcBorders>
            <w:shd w:val="clear" w:color="auto" w:fill="auto"/>
            <w:vAlign w:val="center"/>
          </w:tcPr>
          <w:p>
            <w:pPr>
              <w:pStyle w:val="182"/>
              <w:jc w:val="both"/>
              <w:rPr>
                <w:rFonts w:ascii="Segoe UI Emoji" w:hAnsi="Segoe UI Emoji"/>
                <w:color w:val="404040"/>
                <w:shd w:val="clear" w:color="auto" w:fill="FFFFFF"/>
              </w:rPr>
            </w:pPr>
            <w:r>
              <w:rPr>
                <w:rFonts w:hint="eastAsia" w:hAnsi="宋体"/>
                <w:color w:val="404040"/>
                <w:shd w:val="clear" w:color="auto" w:fill="FFFFFF"/>
              </w:rPr>
              <w:t>测试应用系统在流量超限时自动触发限流或降级机制情况</w:t>
            </w:r>
          </w:p>
        </w:tc>
      </w:tr>
    </w:tbl>
    <w:p>
      <w:pPr>
        <w:pStyle w:val="109"/>
        <w:spacing w:before="156" w:after="156"/>
      </w:pPr>
      <w:bookmarkStart w:id="138" w:name="_Toc89194109"/>
      <w:bookmarkStart w:id="139" w:name="_Toc89073617"/>
      <w:bookmarkStart w:id="140" w:name="_Toc88583463"/>
      <w:bookmarkStart w:id="141" w:name="_Toc91593894"/>
      <w:bookmarkStart w:id="142" w:name="_Toc89785976"/>
      <w:bookmarkStart w:id="143" w:name="_Toc89439219"/>
      <w:r>
        <w:rPr>
          <w:rFonts w:hint="eastAsia"/>
        </w:rPr>
        <w:t>功能完整性</w:t>
      </w:r>
      <w:bookmarkEnd w:id="138"/>
      <w:bookmarkEnd w:id="139"/>
      <w:bookmarkEnd w:id="140"/>
      <w:bookmarkEnd w:id="141"/>
      <w:bookmarkEnd w:id="142"/>
      <w:bookmarkEnd w:id="143"/>
    </w:p>
    <w:p>
      <w:pPr>
        <w:pStyle w:val="60"/>
        <w:ind w:firstLine="420"/>
      </w:pPr>
      <w:r>
        <w:t>应用系统功能完整性测试指标内容主要包括</w:t>
      </w:r>
      <w:r>
        <w:rPr>
          <w:rFonts w:hint="eastAsia"/>
        </w:rPr>
        <w:t>：</w:t>
      </w:r>
    </w:p>
    <w:p>
      <w:pPr>
        <w:pStyle w:val="178"/>
        <w:numPr>
          <w:ilvl w:val="0"/>
          <w:numId w:val="37"/>
        </w:numPr>
      </w:pPr>
      <w:r>
        <w:rPr>
          <w:rFonts w:hint="eastAsia"/>
        </w:rPr>
        <w:t>功能页面打开、返回、退出等正常情况；</w:t>
      </w:r>
    </w:p>
    <w:p>
      <w:pPr>
        <w:pStyle w:val="178"/>
      </w:pPr>
      <w:r>
        <w:rPr>
          <w:rFonts w:hint="eastAsia"/>
        </w:rPr>
        <w:t>引起“山东通”客户端崩溃等非正常情况；</w:t>
      </w:r>
    </w:p>
    <w:p>
      <w:pPr>
        <w:pStyle w:val="178"/>
      </w:pPr>
      <w:r>
        <w:rPr>
          <w:rFonts w:hint="eastAsia"/>
        </w:rPr>
        <w:t>非极端弱网环境下，应用系统内容加载、页面的切换时间不应超过3秒。</w:t>
      </w:r>
    </w:p>
    <w:p>
      <w:pPr>
        <w:pStyle w:val="178"/>
      </w:pPr>
      <w:r>
        <w:rPr>
          <w:rFonts w:hint="eastAsia"/>
        </w:rPr>
        <w:t>应用系统与“山东通”客户端的免登打通，除首次进入应用系统外，禁止应用系统内另行输入用户名和密码登录；</w:t>
      </w:r>
    </w:p>
    <w:p>
      <w:pPr>
        <w:pStyle w:val="178"/>
      </w:pPr>
      <w:r>
        <w:rPr>
          <w:rFonts w:hint="eastAsia"/>
        </w:rPr>
        <w:t>应用系统的鉴权使用。</w:t>
      </w:r>
    </w:p>
    <w:p>
      <w:pPr>
        <w:pStyle w:val="109"/>
        <w:spacing w:before="156" w:after="156"/>
      </w:pPr>
      <w:bookmarkStart w:id="144" w:name="_Toc89439220"/>
      <w:bookmarkStart w:id="145" w:name="_Toc88583464"/>
      <w:bookmarkStart w:id="146" w:name="_Toc89785977"/>
      <w:bookmarkStart w:id="147" w:name="_Toc89073618"/>
      <w:bookmarkStart w:id="148" w:name="_Toc91593895"/>
      <w:bookmarkStart w:id="149" w:name="_Toc89194110"/>
      <w:r>
        <w:rPr>
          <w:rFonts w:hint="eastAsia"/>
        </w:rPr>
        <w:t>交互性</w:t>
      </w:r>
      <w:bookmarkEnd w:id="144"/>
      <w:bookmarkEnd w:id="145"/>
      <w:bookmarkEnd w:id="146"/>
      <w:bookmarkEnd w:id="147"/>
      <w:bookmarkEnd w:id="148"/>
      <w:bookmarkEnd w:id="149"/>
    </w:p>
    <w:p>
      <w:pPr>
        <w:pStyle w:val="60"/>
        <w:ind w:firstLine="420"/>
      </w:pPr>
      <w:r>
        <w:t>应用系统交互性测试指标内容主要包括</w:t>
      </w:r>
      <w:r>
        <w:rPr>
          <w:rFonts w:hint="eastAsia"/>
        </w:rPr>
        <w:t>：</w:t>
      </w:r>
    </w:p>
    <w:p>
      <w:pPr>
        <w:pStyle w:val="178"/>
        <w:numPr>
          <w:ilvl w:val="0"/>
          <w:numId w:val="38"/>
        </w:numPr>
      </w:pPr>
      <w:r>
        <w:rPr>
          <w:rFonts w:hint="eastAsia"/>
        </w:rPr>
        <w:t>应用系统核心功能应在系统首页展现；</w:t>
      </w:r>
    </w:p>
    <w:p>
      <w:pPr>
        <w:pStyle w:val="178"/>
      </w:pPr>
      <w:r>
        <w:rPr>
          <w:rFonts w:hint="eastAsia"/>
        </w:rPr>
        <w:t>非首次进入应用系统的用户应在1—2步操作中进入到应用系统核心功能，首次进入应用系统的用户应看到核心功能介绍或应用系统主要功能的流程指引；</w:t>
      </w:r>
    </w:p>
    <w:p>
      <w:pPr>
        <w:pStyle w:val="178"/>
      </w:pPr>
      <w:r>
        <w:rPr>
          <w:rFonts w:hint="eastAsia"/>
        </w:rPr>
        <w:t>应用系统核心功能流程应完整，流程中不应存在任何断点，在页面没有数据或空白页面时应提供用户一个明确的操作指引，如新建数据按钮或返回上一级页面按钮；</w:t>
      </w:r>
    </w:p>
    <w:p>
      <w:pPr>
        <w:pStyle w:val="178"/>
      </w:pPr>
      <w:r>
        <w:rPr>
          <w:rFonts w:hint="eastAsia"/>
        </w:rPr>
        <w:t>应用系统提醒语言应描述规范、通俗易懂；</w:t>
      </w:r>
    </w:p>
    <w:p>
      <w:pPr>
        <w:pStyle w:val="178"/>
      </w:pPr>
      <w:r>
        <w:rPr>
          <w:rFonts w:hint="eastAsia"/>
        </w:rPr>
        <w:t>应用系统提醒信息应避免与“山东通”平台功能混淆，如消息、工作台等信息应特指“山东通”平台自身的功能。</w:t>
      </w:r>
    </w:p>
    <w:p>
      <w:pPr>
        <w:pStyle w:val="109"/>
        <w:spacing w:before="156" w:after="156"/>
      </w:pPr>
      <w:bookmarkStart w:id="150" w:name="_Toc89073619"/>
      <w:bookmarkStart w:id="151" w:name="_Toc89785978"/>
      <w:bookmarkStart w:id="152" w:name="_Toc89439221"/>
      <w:bookmarkStart w:id="153" w:name="_Toc89194111"/>
      <w:bookmarkStart w:id="154" w:name="_Toc88583465"/>
      <w:bookmarkStart w:id="155" w:name="_Toc91593896"/>
      <w:r>
        <w:t>界面设计规范性</w:t>
      </w:r>
      <w:bookmarkEnd w:id="150"/>
      <w:bookmarkEnd w:id="151"/>
      <w:bookmarkEnd w:id="152"/>
      <w:bookmarkEnd w:id="153"/>
      <w:bookmarkEnd w:id="154"/>
      <w:bookmarkEnd w:id="155"/>
    </w:p>
    <w:p>
      <w:pPr>
        <w:pStyle w:val="60"/>
        <w:ind w:firstLine="420"/>
      </w:pPr>
      <w:r>
        <w:rPr>
          <w:rFonts w:hint="eastAsia"/>
        </w:rPr>
        <w:t>应用系统界面符合性测试内容包括但不限于字体、字号、按钮、界面布局等，测试要求应符合</w:t>
      </w:r>
      <w:r>
        <w:rPr>
          <w:rFonts w:hint="eastAsia"/>
          <w:lang w:val="en-US" w:eastAsia="zh-Hans"/>
        </w:rPr>
        <w:t>SZSD</w:t>
      </w:r>
      <w:r>
        <w:rPr>
          <w:rFonts w:hint="eastAsia"/>
        </w:rPr>
        <w:t xml:space="preserve"> XXXX—2022《</w:t>
      </w:r>
      <w:r>
        <w:rPr>
          <w:rFonts w:hint="eastAsia"/>
          <w:lang w:eastAsia="zh-CN"/>
        </w:rPr>
        <w:t>“山东通”平台</w:t>
      </w:r>
      <w:r>
        <w:rPr>
          <w:rFonts w:hint="eastAsia"/>
        </w:rPr>
        <w:t xml:space="preserve"> </w:t>
      </w:r>
      <w:r>
        <w:rPr>
          <w:rFonts w:hint="eastAsia"/>
          <w:lang w:val="en-US" w:eastAsia="zh-CN"/>
        </w:rPr>
        <w:t>应用</w:t>
      </w:r>
      <w:r>
        <w:rPr>
          <w:rFonts w:hint="eastAsia"/>
          <w:lang w:val="en-US" w:eastAsia="zh-Hans"/>
        </w:rPr>
        <w:t>系统</w:t>
      </w:r>
      <w:r>
        <w:rPr>
          <w:rFonts w:hint="eastAsia"/>
        </w:rPr>
        <w:t>界面设计规范》中的相关规定。</w:t>
      </w:r>
    </w:p>
    <w:p>
      <w:pPr>
        <w:pStyle w:val="108"/>
        <w:spacing w:before="312" w:after="312"/>
      </w:pPr>
      <w:bookmarkStart w:id="156" w:name="_Toc89194112"/>
      <w:bookmarkStart w:id="157" w:name="_Toc89073620"/>
      <w:bookmarkStart w:id="158" w:name="_Toc89439222"/>
      <w:bookmarkStart w:id="159" w:name="_Toc91593897"/>
      <w:bookmarkStart w:id="160" w:name="_Toc88583466"/>
      <w:bookmarkStart w:id="161" w:name="_Toc89785979"/>
      <w:r>
        <w:rPr>
          <w:rFonts w:hint="eastAsia"/>
        </w:rPr>
        <w:t>测试结果</w:t>
      </w:r>
      <w:bookmarkEnd w:id="156"/>
      <w:bookmarkEnd w:id="157"/>
      <w:bookmarkEnd w:id="158"/>
      <w:bookmarkEnd w:id="159"/>
      <w:bookmarkEnd w:id="160"/>
      <w:bookmarkEnd w:id="161"/>
    </w:p>
    <w:p>
      <w:pPr>
        <w:pStyle w:val="60"/>
        <w:ind w:firstLine="420"/>
      </w:pPr>
      <w:r>
        <w:rPr>
          <w:rFonts w:hint="eastAsia"/>
        </w:rPr>
        <w:t>应给出应用系统测试报告，包括测试范围、测试结果、测试时间等内容，应符合附录E的相关要求。</w:t>
      </w:r>
      <w:bookmarkEnd w:id="19"/>
    </w:p>
    <w:p>
      <w:pPr>
        <w:pStyle w:val="60"/>
        <w:ind w:firstLine="420"/>
      </w:pPr>
    </w:p>
    <w:p>
      <w:pPr>
        <w:pStyle w:val="60"/>
        <w:ind w:firstLine="420"/>
        <w:sectPr>
          <w:pgSz w:w="11906" w:h="16838"/>
          <w:pgMar w:top="2410" w:right="1134" w:bottom="1134" w:left="1134" w:header="1418" w:footer="1134" w:gutter="284"/>
          <w:pgNumType w:start="1"/>
          <w:cols w:space="425" w:num="1"/>
          <w:formProt w:val="0"/>
          <w:docGrid w:type="lines" w:linePitch="312" w:charSpace="0"/>
        </w:sectPr>
      </w:pPr>
    </w:p>
    <w:p>
      <w:pPr>
        <w:pStyle w:val="202"/>
      </w:pPr>
      <w:bookmarkStart w:id="162" w:name="BookMark5"/>
    </w:p>
    <w:p>
      <w:pPr>
        <w:pStyle w:val="203"/>
      </w:pPr>
    </w:p>
    <w:p>
      <w:pPr>
        <w:pStyle w:val="80"/>
        <w:spacing w:before="78" w:after="156"/>
      </w:pPr>
      <w:r>
        <w:br w:type="textWrapping"/>
      </w:r>
      <w:bookmarkStart w:id="163" w:name="_Toc89073621"/>
      <w:bookmarkStart w:id="164" w:name="_Toc88583467"/>
      <w:bookmarkStart w:id="165" w:name="_Toc89194113"/>
      <w:bookmarkStart w:id="166" w:name="_Toc89785980"/>
      <w:bookmarkStart w:id="167" w:name="_Toc89439223"/>
      <w:bookmarkStart w:id="168" w:name="_Toc91593898"/>
      <w:r>
        <w:rPr>
          <w:rFonts w:hint="eastAsia"/>
        </w:rPr>
        <w:t>（资料性）</w:t>
      </w:r>
      <w:r>
        <w:br w:type="textWrapping"/>
      </w:r>
      <w:r>
        <w:rPr>
          <w:rFonts w:hint="eastAsia"/>
        </w:rPr>
        <w:t>应用系统部署文档</w:t>
      </w:r>
      <w:bookmarkEnd w:id="163"/>
      <w:bookmarkEnd w:id="164"/>
      <w:bookmarkEnd w:id="165"/>
      <w:bookmarkEnd w:id="166"/>
      <w:bookmarkEnd w:id="167"/>
      <w:bookmarkEnd w:id="168"/>
    </w:p>
    <w:p>
      <w:pPr>
        <w:pStyle w:val="82"/>
        <w:spacing w:before="156" w:after="156"/>
      </w:pPr>
      <w:bookmarkStart w:id="169" w:name="_Toc88583468"/>
      <w:bookmarkStart w:id="170" w:name="_Toc89073622"/>
      <w:bookmarkStart w:id="171" w:name="_Toc91593899"/>
      <w:bookmarkStart w:id="172" w:name="_Toc89785981"/>
      <w:bookmarkStart w:id="173" w:name="_Toc89194114"/>
      <w:bookmarkStart w:id="174" w:name="_Toc89439224"/>
      <w:r>
        <w:t>应用系统基本信息</w:t>
      </w:r>
      <w:bookmarkEnd w:id="169"/>
      <w:bookmarkEnd w:id="170"/>
      <w:bookmarkEnd w:id="171"/>
      <w:bookmarkEnd w:id="172"/>
      <w:bookmarkEnd w:id="173"/>
      <w:bookmarkEnd w:id="174"/>
    </w:p>
    <w:p>
      <w:pPr>
        <w:pStyle w:val="60"/>
        <w:ind w:firstLine="420"/>
      </w:pPr>
      <w:r>
        <w:rPr>
          <w:rFonts w:hint="eastAsia"/>
        </w:rPr>
        <w:t>应简要说明应用系统名称、应用系统简介等应用系统基本信息。</w:t>
      </w:r>
    </w:p>
    <w:p>
      <w:pPr>
        <w:pStyle w:val="82"/>
        <w:spacing w:before="156" w:after="156"/>
      </w:pPr>
      <w:bookmarkStart w:id="175" w:name="_Toc89194115"/>
      <w:bookmarkStart w:id="176" w:name="_Toc88583469"/>
      <w:bookmarkStart w:id="177" w:name="_Toc89073623"/>
      <w:bookmarkStart w:id="178" w:name="_Toc91593900"/>
      <w:bookmarkStart w:id="179" w:name="_Toc89439225"/>
      <w:bookmarkStart w:id="180" w:name="_Toc89785982"/>
      <w:r>
        <w:rPr>
          <w:rFonts w:hint="eastAsia"/>
        </w:rPr>
        <w:t>应用系统架构图</w:t>
      </w:r>
      <w:bookmarkEnd w:id="175"/>
      <w:bookmarkEnd w:id="176"/>
      <w:bookmarkEnd w:id="177"/>
      <w:bookmarkEnd w:id="178"/>
      <w:bookmarkEnd w:id="179"/>
      <w:bookmarkEnd w:id="180"/>
    </w:p>
    <w:p>
      <w:pPr>
        <w:pStyle w:val="60"/>
        <w:ind w:firstLine="420"/>
      </w:pPr>
      <w:r>
        <w:rPr>
          <w:rFonts w:hint="eastAsia"/>
        </w:rPr>
        <w:t>服务（资源）名、IP地址应与服务器列表、应用系统配置对应，架构图应给出所有资源包括调用的外部资源。应用系统架构图示例见图A.</w:t>
      </w:r>
      <w:r>
        <w:t>1</w:t>
      </w:r>
      <w:r>
        <w:rPr>
          <w:rFonts w:hint="eastAsia"/>
        </w:rPr>
        <w:t>。</w:t>
      </w:r>
    </w:p>
    <w:p>
      <w:pPr>
        <w:pStyle w:val="60"/>
        <w:ind w:firstLine="420"/>
        <w:jc w:val="center"/>
        <w:rPr>
          <w:rFonts w:ascii="仿宋" w:hAnsi="仿宋" w:eastAsia="仿宋"/>
        </w:rPr>
      </w:pPr>
      <w:r>
        <w:drawing>
          <wp:inline distT="0" distB="0" distL="0" distR="0">
            <wp:extent cx="3995420" cy="5311775"/>
            <wp:effectExtent l="0" t="0" r="5080" b="3175"/>
            <wp:docPr id="1" name="图片 1" descr="C:\Users\wb-zmk498318\Downloads\系统架构模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b-zmk498318\Downloads\系统架构模板.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995420" cy="5311775"/>
                    </a:xfrm>
                    <a:prstGeom prst="rect">
                      <a:avLst/>
                    </a:prstGeom>
                    <a:noFill/>
                    <a:ln>
                      <a:noFill/>
                    </a:ln>
                  </pic:spPr>
                </pic:pic>
              </a:graphicData>
            </a:graphic>
          </wp:inline>
        </w:drawing>
      </w:r>
      <w:bookmarkStart w:id="181" w:name="_Toc7022697"/>
      <w:bookmarkEnd w:id="181"/>
    </w:p>
    <w:p>
      <w:pPr>
        <w:pStyle w:val="87"/>
        <w:spacing w:before="156" w:after="156"/>
      </w:pPr>
      <w:r>
        <w:t>应用系统架构图示例</w:t>
      </w:r>
    </w:p>
    <w:p>
      <w:pPr>
        <w:pStyle w:val="60"/>
        <w:ind w:firstLine="420"/>
      </w:pPr>
    </w:p>
    <w:p>
      <w:pPr>
        <w:pStyle w:val="82"/>
        <w:spacing w:before="156" w:after="156"/>
      </w:pPr>
      <w:bookmarkStart w:id="182" w:name="_Toc89439226"/>
      <w:bookmarkStart w:id="183" w:name="_Toc88583470"/>
      <w:bookmarkStart w:id="184" w:name="_Toc91593901"/>
      <w:bookmarkStart w:id="185" w:name="_Toc7022698"/>
      <w:bookmarkStart w:id="186" w:name="_Toc86859559"/>
      <w:bookmarkStart w:id="187" w:name="_Toc89785983"/>
      <w:bookmarkStart w:id="188" w:name="_Toc86860079"/>
      <w:bookmarkStart w:id="189" w:name="_Toc89073624"/>
      <w:bookmarkStart w:id="190" w:name="_Toc21373"/>
      <w:bookmarkStart w:id="191" w:name="_Toc89194116"/>
      <w:r>
        <w:rPr>
          <w:rFonts w:hint="eastAsia"/>
        </w:rPr>
        <w:t>服务器列表</w:t>
      </w:r>
      <w:bookmarkEnd w:id="182"/>
      <w:bookmarkEnd w:id="183"/>
      <w:bookmarkEnd w:id="184"/>
      <w:bookmarkEnd w:id="185"/>
      <w:bookmarkEnd w:id="186"/>
      <w:bookmarkEnd w:id="187"/>
      <w:bookmarkEnd w:id="188"/>
      <w:bookmarkEnd w:id="189"/>
      <w:bookmarkEnd w:id="190"/>
      <w:bookmarkEnd w:id="191"/>
    </w:p>
    <w:p>
      <w:pPr>
        <w:pStyle w:val="60"/>
        <w:ind w:firstLine="420"/>
      </w:pPr>
      <w:r>
        <w:rPr>
          <w:rFonts w:hint="eastAsia"/>
        </w:rPr>
        <w:t>服务器列表应包括以下内容：</w:t>
      </w:r>
    </w:p>
    <w:p>
      <w:pPr>
        <w:pStyle w:val="178"/>
        <w:numPr>
          <w:ilvl w:val="0"/>
          <w:numId w:val="39"/>
        </w:numPr>
      </w:pPr>
      <w:r>
        <w:rPr>
          <w:rFonts w:hint="eastAsia"/>
        </w:rPr>
        <w:t>网络区域：包括电子政务外网、互联网接入区；</w:t>
      </w:r>
    </w:p>
    <w:p>
      <w:pPr>
        <w:pStyle w:val="178"/>
      </w:pPr>
      <w:r>
        <w:rPr>
          <w:rFonts w:hint="eastAsia"/>
        </w:rPr>
        <w:t>服务名称：应用系统服务名称；</w:t>
      </w:r>
    </w:p>
    <w:p>
      <w:pPr>
        <w:pStyle w:val="178"/>
      </w:pPr>
      <w:r>
        <w:rPr>
          <w:rFonts w:hint="eastAsia"/>
        </w:rPr>
        <w:t>主机名称：服务器主机名称；</w:t>
      </w:r>
    </w:p>
    <w:p>
      <w:pPr>
        <w:pStyle w:val="178"/>
      </w:pPr>
      <w:r>
        <w:rPr>
          <w:rFonts w:hint="eastAsia"/>
        </w:rPr>
        <w:t>IP地址：内网</w:t>
      </w:r>
      <w:r>
        <w:t>IP</w:t>
      </w:r>
      <w:r>
        <w:rPr>
          <w:rFonts w:hint="eastAsia"/>
        </w:rPr>
        <w:t>地址。</w:t>
      </w:r>
    </w:p>
    <w:p>
      <w:pPr>
        <w:pStyle w:val="60"/>
        <w:ind w:firstLine="420"/>
      </w:pPr>
      <w:r>
        <w:rPr>
          <w:rFonts w:hint="eastAsia"/>
        </w:rPr>
        <w:t>服务器列表示例见表A.1。</w:t>
      </w:r>
    </w:p>
    <w:p>
      <w:pPr>
        <w:pStyle w:val="81"/>
        <w:spacing w:before="156" w:after="156"/>
      </w:pPr>
      <w:r>
        <w:rPr>
          <w:rFonts w:hint="eastAsia"/>
        </w:rPr>
        <w:t>服务器列表示例</w:t>
      </w:r>
    </w:p>
    <w:tbl>
      <w:tblPr>
        <w:tblStyle w:val="36"/>
        <w:tblW w:w="921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942"/>
        <w:gridCol w:w="1497"/>
        <w:gridCol w:w="1497"/>
        <w:gridCol w:w="965"/>
        <w:gridCol w:w="1390"/>
        <w:gridCol w:w="1076"/>
        <w:gridCol w:w="184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jc w:val="center"/>
        </w:trPr>
        <w:tc>
          <w:tcPr>
            <w:tcW w:w="942"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序号</w:t>
            </w:r>
          </w:p>
        </w:tc>
        <w:tc>
          <w:tcPr>
            <w:tcW w:w="1497"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网络区域</w:t>
            </w:r>
          </w:p>
        </w:tc>
        <w:tc>
          <w:tcPr>
            <w:tcW w:w="1497"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服务名</w:t>
            </w:r>
          </w:p>
        </w:tc>
        <w:tc>
          <w:tcPr>
            <w:tcW w:w="965"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主机名称</w:t>
            </w:r>
          </w:p>
        </w:tc>
        <w:tc>
          <w:tcPr>
            <w:tcW w:w="1390"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IP地址</w:t>
            </w:r>
          </w:p>
        </w:tc>
        <w:tc>
          <w:tcPr>
            <w:tcW w:w="1076"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操作系统</w:t>
            </w:r>
          </w:p>
        </w:tc>
        <w:tc>
          <w:tcPr>
            <w:tcW w:w="1848" w:type="dxa"/>
            <w:tcBorders>
              <w:top w:val="single" w:color="000000" w:sz="8" w:space="0"/>
              <w:bottom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规格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jc w:val="center"/>
        </w:trPr>
        <w:tc>
          <w:tcPr>
            <w:tcW w:w="942"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1</w:t>
            </w:r>
          </w:p>
        </w:tc>
        <w:tc>
          <w:tcPr>
            <w:tcW w:w="1497"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电子政务外网</w:t>
            </w:r>
          </w:p>
        </w:tc>
        <w:tc>
          <w:tcPr>
            <w:tcW w:w="1497"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公文处理服务</w:t>
            </w:r>
          </w:p>
        </w:tc>
        <w:tc>
          <w:tcPr>
            <w:tcW w:w="965"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XXXXXXX</w:t>
            </w:r>
          </w:p>
        </w:tc>
        <w:tc>
          <w:tcPr>
            <w:tcW w:w="1390"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XX.XX.XX.XX</w:t>
            </w:r>
          </w:p>
        </w:tc>
        <w:tc>
          <w:tcPr>
            <w:tcW w:w="1076"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centos 7</w:t>
            </w:r>
          </w:p>
        </w:tc>
        <w:tc>
          <w:tcPr>
            <w:tcW w:w="1848" w:type="dxa"/>
            <w:tcBorders>
              <w:top w:val="single" w:color="000000" w:sz="8" w:space="0"/>
            </w:tcBorders>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X核XGB内存</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jc w:val="center"/>
        </w:trPr>
        <w:tc>
          <w:tcPr>
            <w:tcW w:w="942"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2</w:t>
            </w:r>
          </w:p>
        </w:tc>
        <w:tc>
          <w:tcPr>
            <w:tcW w:w="1497"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电子政务外网</w:t>
            </w:r>
          </w:p>
        </w:tc>
        <w:tc>
          <w:tcPr>
            <w:tcW w:w="1497"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公文处理服务</w:t>
            </w:r>
          </w:p>
        </w:tc>
        <w:tc>
          <w:tcPr>
            <w:tcW w:w="965"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XXXXXXX</w:t>
            </w:r>
          </w:p>
        </w:tc>
        <w:tc>
          <w:tcPr>
            <w:tcW w:w="1390"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XX.XX.XX.XX</w:t>
            </w:r>
          </w:p>
        </w:tc>
        <w:tc>
          <w:tcPr>
            <w:tcW w:w="1076"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centos 7</w:t>
            </w:r>
          </w:p>
        </w:tc>
        <w:tc>
          <w:tcPr>
            <w:tcW w:w="1848" w:type="dxa"/>
            <w:shd w:val="clear" w:color="auto" w:fill="auto"/>
            <w:vAlign w:val="center"/>
          </w:tcPr>
          <w:p>
            <w:pPr>
              <w:jc w:val="center"/>
              <w:rPr>
                <w:rFonts w:ascii="宋体" w:hAnsi="宋体"/>
                <w:bCs/>
                <w:color w:val="000000"/>
                <w:sz w:val="18"/>
                <w:szCs w:val="18"/>
              </w:rPr>
            </w:pPr>
            <w:r>
              <w:rPr>
                <w:rFonts w:hint="eastAsia" w:ascii="宋体" w:hAnsi="宋体"/>
                <w:bCs/>
                <w:color w:val="000000"/>
                <w:sz w:val="18"/>
                <w:szCs w:val="18"/>
              </w:rPr>
              <w:t>X核XGB内存</w:t>
            </w:r>
          </w:p>
        </w:tc>
      </w:tr>
    </w:tbl>
    <w:p>
      <w:pPr>
        <w:pStyle w:val="82"/>
        <w:spacing w:before="156" w:after="156"/>
      </w:pPr>
      <w:bookmarkStart w:id="192" w:name="_Toc31678"/>
      <w:bookmarkStart w:id="193" w:name="_Toc89194117"/>
      <w:bookmarkStart w:id="194" w:name="_Toc88583471"/>
      <w:bookmarkStart w:id="195" w:name="_Toc89073625"/>
      <w:bookmarkStart w:id="196" w:name="_Toc7014447"/>
      <w:bookmarkStart w:id="197" w:name="_Toc89785984"/>
      <w:bookmarkStart w:id="198" w:name="_Toc89439227"/>
      <w:bookmarkStart w:id="199" w:name="_Toc7022699"/>
      <w:bookmarkStart w:id="200" w:name="_Toc86860080"/>
      <w:bookmarkStart w:id="201" w:name="_Toc86859560"/>
      <w:bookmarkStart w:id="202" w:name="_Toc91593902"/>
      <w:r>
        <w:rPr>
          <w:rFonts w:hint="eastAsia"/>
        </w:rPr>
        <w:t>应用系统配置</w:t>
      </w:r>
      <w:bookmarkEnd w:id="192"/>
      <w:bookmarkEnd w:id="193"/>
      <w:bookmarkEnd w:id="194"/>
      <w:bookmarkEnd w:id="195"/>
      <w:bookmarkEnd w:id="196"/>
      <w:bookmarkEnd w:id="197"/>
      <w:bookmarkEnd w:id="198"/>
      <w:bookmarkEnd w:id="199"/>
      <w:bookmarkEnd w:id="200"/>
      <w:bookmarkEnd w:id="201"/>
      <w:bookmarkEnd w:id="202"/>
    </w:p>
    <w:p>
      <w:pPr>
        <w:pStyle w:val="60"/>
        <w:ind w:firstLine="420"/>
      </w:pPr>
      <w:r>
        <w:t>应用系统配置信息</w:t>
      </w:r>
      <w:r>
        <w:rPr>
          <w:rFonts w:hint="eastAsia"/>
        </w:rPr>
        <w:t>示例</w:t>
      </w:r>
      <w:r>
        <w:t>参见表</w:t>
      </w:r>
      <w:r>
        <w:rPr>
          <w:rFonts w:hint="eastAsia"/>
        </w:rPr>
        <w:t>A</w:t>
      </w:r>
      <w:r>
        <w:t>.2</w:t>
      </w:r>
      <w:r>
        <w:rPr>
          <w:rFonts w:hint="eastAsia"/>
        </w:rPr>
        <w:t>。</w:t>
      </w:r>
    </w:p>
    <w:p>
      <w:pPr>
        <w:pStyle w:val="81"/>
        <w:spacing w:before="156" w:after="156"/>
      </w:pPr>
      <w:r>
        <w:t>应用系统配置信息</w:t>
      </w:r>
      <w:r>
        <w:rPr>
          <w:rFonts w:hint="eastAsia"/>
        </w:rPr>
        <w:t>示例</w:t>
      </w:r>
    </w:p>
    <w:tbl>
      <w:tblPr>
        <w:tblStyle w:val="36"/>
        <w:tblW w:w="9570"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722"/>
        <w:gridCol w:w="1723"/>
        <w:gridCol w:w="612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restart"/>
            <w:shd w:val="clear" w:color="auto" w:fill="auto"/>
            <w:vAlign w:val="center"/>
          </w:tcPr>
          <w:p>
            <w:pPr>
              <w:rPr>
                <w:rFonts w:ascii="宋体" w:hAnsi="宋体"/>
                <w:bCs/>
                <w:color w:val="000000"/>
                <w:sz w:val="18"/>
                <w:szCs w:val="18"/>
              </w:rPr>
            </w:pPr>
            <w:r>
              <w:rPr>
                <w:rFonts w:hint="eastAsia" w:ascii="宋体" w:hAnsi="宋体"/>
                <w:bCs/>
                <w:color w:val="000000"/>
                <w:sz w:val="18"/>
                <w:szCs w:val="18"/>
              </w:rPr>
              <w:t>服务器信息</w:t>
            </w: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服务资源名</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XXX应用系统</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域名</w:t>
            </w:r>
          </w:p>
        </w:tc>
        <w:tc>
          <w:tcPr>
            <w:tcW w:w="6125" w:type="dxa"/>
            <w:shd w:val="clear" w:color="auto" w:fill="auto"/>
            <w:vAlign w:val="center"/>
          </w:tcPr>
          <w:p>
            <w:pPr>
              <w:rPr>
                <w:rFonts w:ascii="宋体" w:hAnsi="宋体"/>
                <w:b/>
                <w:bCs/>
                <w:color w:val="000000"/>
                <w:sz w:val="18"/>
                <w:szCs w:val="18"/>
              </w:rPr>
            </w:pPr>
            <w:r>
              <w:rPr>
                <w:rFonts w:hint="eastAsia" w:ascii="宋体" w:hAnsi="宋体"/>
                <w:color w:val="000000"/>
                <w:sz w:val="18"/>
                <w:szCs w:val="18"/>
              </w:rPr>
              <w:t>（如有域名，请给出域名）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6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IP地址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XX.XX.XX.XX</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76" w:hRule="atLeast"/>
        </w:trPr>
        <w:tc>
          <w:tcPr>
            <w:tcW w:w="1722" w:type="dxa"/>
            <w:vMerge w:val="restart"/>
            <w:shd w:val="clear" w:color="auto" w:fill="auto"/>
            <w:vAlign w:val="center"/>
          </w:tcPr>
          <w:p>
            <w:pPr>
              <w:rPr>
                <w:rFonts w:ascii="宋体" w:hAnsi="宋体"/>
                <w:bCs/>
                <w:color w:val="000000"/>
                <w:sz w:val="18"/>
                <w:szCs w:val="18"/>
              </w:rPr>
            </w:pPr>
            <w:r>
              <w:rPr>
                <w:rFonts w:hint="eastAsia" w:ascii="宋体" w:hAnsi="宋体"/>
                <w:bCs/>
                <w:color w:val="000000"/>
                <w:sz w:val="18"/>
                <w:szCs w:val="18"/>
              </w:rPr>
              <w:t>外部服务信息</w:t>
            </w: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关联外部服务</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RDS</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服务地址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XXX.XXX.XXX:3306/test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关联外部服务</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Redis</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服务地址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XXX.XXX.XXX:6379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restart"/>
            <w:shd w:val="clear" w:color="auto" w:fill="auto"/>
            <w:vAlign w:val="center"/>
          </w:tcPr>
          <w:p>
            <w:pPr>
              <w:rPr>
                <w:rFonts w:ascii="宋体" w:hAnsi="宋体"/>
                <w:bCs/>
                <w:color w:val="000000"/>
                <w:sz w:val="18"/>
                <w:szCs w:val="18"/>
              </w:rPr>
            </w:pPr>
            <w:r>
              <w:rPr>
                <w:rFonts w:hint="eastAsia" w:ascii="宋体" w:hAnsi="宋体"/>
                <w:bCs/>
                <w:color w:val="000000"/>
                <w:sz w:val="18"/>
                <w:szCs w:val="18"/>
              </w:rPr>
              <w:t>应用系统信息</w:t>
            </w: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程序名称</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Nginx</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程序路径</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/etc/nginx/</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程序对外端口</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80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6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配置文件地址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/etc/nginx/nginx.conf</w:t>
            </w:r>
          </w:p>
          <w:p>
            <w:pPr>
              <w:rPr>
                <w:rFonts w:ascii="宋体" w:hAnsi="宋体"/>
                <w:color w:val="000000"/>
                <w:sz w:val="18"/>
                <w:szCs w:val="18"/>
              </w:rPr>
            </w:pPr>
            <w:r>
              <w:rPr>
                <w:rFonts w:hint="eastAsia" w:ascii="宋体" w:hAnsi="宋体"/>
                <w:color w:val="000000"/>
                <w:sz w:val="18"/>
                <w:szCs w:val="18"/>
              </w:rPr>
              <w:t>/etc/nginx/conf.d/default.conf</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日志文件地址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/var/log/nginx/*.log</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启动命令</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/etc/nginx/sbin/nginx</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重启命令</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/etc/nginx/sbin/nginx -reload</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停止命令</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/etc/nginx/sbin/nginx -stop</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备注</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提供前端静态页面展示和反向代理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程序名称</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Tomcat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程序路径</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/home/tomcat/apache-tomcat-8.5.16</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程序对外端口</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80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配置文件地址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/home/tomcat/apache-tomcat-8.5.16/conf/*.xml</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日志文件地址</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/home/tomcat/logs/*.log</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启动命令</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/home/tomcat/apache-tomcat-8.5.16/bin/startup.sh</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重启命令</w:t>
            </w:r>
          </w:p>
        </w:tc>
        <w:tc>
          <w:tcPr>
            <w:tcW w:w="6125" w:type="dxa"/>
            <w:shd w:val="clear" w:color="auto" w:fill="auto"/>
            <w:vAlign w:val="center"/>
          </w:tcPr>
          <w:p>
            <w:pPr>
              <w:rPr>
                <w:rFonts w:ascii="宋体" w:hAnsi="宋体"/>
                <w:b/>
                <w:bCs/>
                <w:color w:val="00000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停止命令</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/home/tomcat/apache-tomcat-8.5.16/bin/shutdown.sh</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280" w:hRule="atLeast"/>
        </w:trPr>
        <w:tc>
          <w:tcPr>
            <w:tcW w:w="1722" w:type="dxa"/>
            <w:vMerge w:val="continue"/>
            <w:shd w:val="clear" w:color="auto" w:fill="auto"/>
            <w:vAlign w:val="center"/>
          </w:tcPr>
          <w:p>
            <w:pPr>
              <w:rPr>
                <w:rFonts w:ascii="宋体" w:hAnsi="宋体"/>
                <w:bCs/>
                <w:color w:val="000000"/>
                <w:sz w:val="18"/>
                <w:szCs w:val="18"/>
              </w:rPr>
            </w:pPr>
          </w:p>
        </w:tc>
        <w:tc>
          <w:tcPr>
            <w:tcW w:w="1723" w:type="dxa"/>
            <w:shd w:val="clear" w:color="auto" w:fill="auto"/>
            <w:vAlign w:val="center"/>
          </w:tcPr>
          <w:p>
            <w:pPr>
              <w:rPr>
                <w:rFonts w:ascii="宋体" w:hAnsi="宋体"/>
                <w:bCs/>
                <w:color w:val="000000"/>
                <w:sz w:val="18"/>
                <w:szCs w:val="18"/>
              </w:rPr>
            </w:pPr>
            <w:r>
              <w:rPr>
                <w:rFonts w:hint="eastAsia" w:ascii="宋体" w:hAnsi="宋体"/>
                <w:bCs/>
                <w:color w:val="000000"/>
                <w:sz w:val="18"/>
                <w:szCs w:val="18"/>
              </w:rPr>
              <w:t>备注</w:t>
            </w:r>
          </w:p>
        </w:tc>
        <w:tc>
          <w:tcPr>
            <w:tcW w:w="6125" w:type="dxa"/>
            <w:shd w:val="clear" w:color="auto" w:fill="auto"/>
            <w:vAlign w:val="center"/>
          </w:tcPr>
          <w:p>
            <w:pPr>
              <w:rPr>
                <w:rFonts w:ascii="宋体" w:hAnsi="宋体"/>
                <w:color w:val="000000"/>
                <w:sz w:val="18"/>
                <w:szCs w:val="18"/>
              </w:rPr>
            </w:pPr>
            <w:r>
              <w:rPr>
                <w:rFonts w:hint="eastAsia" w:ascii="宋体" w:hAnsi="宋体"/>
                <w:color w:val="000000"/>
                <w:sz w:val="18"/>
                <w:szCs w:val="18"/>
              </w:rPr>
              <w:t>Java容器</w:t>
            </w:r>
          </w:p>
        </w:tc>
      </w:tr>
    </w:tbl>
    <w:p>
      <w:pPr>
        <w:pStyle w:val="183"/>
        <w:rPr>
          <w:rFonts w:hAnsi="宋体"/>
        </w:rPr>
      </w:pPr>
      <w:r>
        <w:rPr>
          <w:rFonts w:hint="eastAsia" w:hAnsi="宋体"/>
        </w:rPr>
        <w:t>涉及敏感信息如密码应进行脱敏处理。</w:t>
      </w:r>
    </w:p>
    <w:p>
      <w:pPr>
        <w:pStyle w:val="60"/>
        <w:ind w:firstLine="420"/>
      </w:pPr>
    </w:p>
    <w:p>
      <w:pPr>
        <w:pStyle w:val="60"/>
        <w:ind w:firstLine="420"/>
        <w:sectPr>
          <w:pgSz w:w="11906" w:h="16838"/>
          <w:pgMar w:top="2410" w:right="1134" w:bottom="1134" w:left="1134" w:header="1418" w:footer="1134" w:gutter="284"/>
          <w:cols w:space="425" w:num="1"/>
          <w:formProt w:val="0"/>
          <w:docGrid w:type="lines" w:linePitch="312" w:charSpace="0"/>
        </w:sectPr>
      </w:pPr>
    </w:p>
    <w:p>
      <w:pPr>
        <w:pStyle w:val="202"/>
      </w:pPr>
    </w:p>
    <w:p>
      <w:pPr>
        <w:pStyle w:val="203"/>
      </w:pPr>
    </w:p>
    <w:p>
      <w:pPr>
        <w:pStyle w:val="80"/>
        <w:spacing w:before="78" w:after="156"/>
      </w:pPr>
      <w:r>
        <w:br w:type="textWrapping"/>
      </w:r>
      <w:bookmarkStart w:id="203" w:name="_Toc89785985"/>
      <w:bookmarkStart w:id="204" w:name="_Toc89194118"/>
      <w:bookmarkStart w:id="205" w:name="_Toc89439228"/>
      <w:bookmarkStart w:id="206" w:name="_Toc89073626"/>
      <w:bookmarkStart w:id="207" w:name="_Toc91593903"/>
      <w:bookmarkStart w:id="208" w:name="_Toc88583472"/>
      <w:r>
        <w:rPr>
          <w:rFonts w:hint="eastAsia"/>
        </w:rPr>
        <w:t>（资料性）</w:t>
      </w:r>
      <w:r>
        <w:br w:type="textWrapping"/>
      </w:r>
      <w:r>
        <w:rPr>
          <w:rFonts w:hint="eastAsia"/>
        </w:rPr>
        <w:t>应用系统上线自查文档</w:t>
      </w:r>
      <w:bookmarkEnd w:id="203"/>
      <w:bookmarkEnd w:id="204"/>
      <w:bookmarkEnd w:id="205"/>
      <w:bookmarkEnd w:id="206"/>
      <w:bookmarkEnd w:id="207"/>
      <w:bookmarkEnd w:id="208"/>
    </w:p>
    <w:p>
      <w:pPr>
        <w:pStyle w:val="82"/>
        <w:spacing w:before="156" w:after="156"/>
      </w:pPr>
      <w:bookmarkStart w:id="209" w:name="_Toc91593904"/>
      <w:r>
        <w:rPr>
          <w:rFonts w:hint="eastAsia"/>
        </w:rPr>
        <w:t>基本信息</w:t>
      </w:r>
      <w:bookmarkEnd w:id="209"/>
    </w:p>
    <w:p>
      <w:pPr>
        <w:pStyle w:val="60"/>
        <w:ind w:firstLine="420"/>
        <w:rPr>
          <w:rFonts w:hAnsi="宋体"/>
        </w:rPr>
      </w:pPr>
      <w:r>
        <w:rPr>
          <w:rFonts w:hint="eastAsia"/>
        </w:rPr>
        <w:t>应简要说明应用系统名称、应用系统简介等应用系统基本信息。</w:t>
      </w:r>
    </w:p>
    <w:p>
      <w:pPr>
        <w:pStyle w:val="82"/>
        <w:spacing w:before="156" w:after="156"/>
      </w:pPr>
      <w:bookmarkStart w:id="210" w:name="_Toc89073628"/>
      <w:bookmarkStart w:id="211" w:name="_Toc91593905"/>
      <w:bookmarkStart w:id="212" w:name="_Toc89785987"/>
      <w:bookmarkStart w:id="213" w:name="_Toc89439230"/>
      <w:bookmarkStart w:id="214" w:name="_Toc88583474"/>
      <w:bookmarkStart w:id="215" w:name="_Toc89194120"/>
      <w:r>
        <w:rPr>
          <w:rFonts w:hint="eastAsia"/>
        </w:rPr>
        <w:t>人员信息</w:t>
      </w:r>
      <w:bookmarkEnd w:id="210"/>
      <w:bookmarkEnd w:id="211"/>
      <w:bookmarkEnd w:id="212"/>
      <w:bookmarkEnd w:id="213"/>
      <w:bookmarkEnd w:id="214"/>
      <w:bookmarkEnd w:id="215"/>
    </w:p>
    <w:p>
      <w:pPr>
        <w:pStyle w:val="60"/>
        <w:ind w:firstLine="420"/>
      </w:pPr>
      <w:r>
        <w:rPr>
          <w:rFonts w:hint="eastAsia"/>
        </w:rPr>
        <w:t>应用系统人员信息见表B.1。</w:t>
      </w:r>
    </w:p>
    <w:p>
      <w:pPr>
        <w:pStyle w:val="81"/>
        <w:spacing w:before="156" w:after="156"/>
      </w:pPr>
      <w:r>
        <w:rPr>
          <w:rFonts w:hint="eastAsia"/>
        </w:rPr>
        <w:t>人员信息</w:t>
      </w:r>
    </w:p>
    <w:tbl>
      <w:tblPr>
        <w:tblStyle w:val="36"/>
        <w:tblW w:w="851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914"/>
        <w:gridCol w:w="1599"/>
        <w:gridCol w:w="2048"/>
        <w:gridCol w:w="1955"/>
      </w:tblGrid>
      <w:tr>
        <w:trPr>
          <w:trHeight w:val="20" w:hRule="atLeast"/>
        </w:trPr>
        <w:tc>
          <w:tcPr>
            <w:tcW w:w="2914" w:type="dxa"/>
            <w:tcBorders>
              <w:top w:val="single" w:color="auto" w:sz="8" w:space="0"/>
              <w:bottom w:val="single" w:color="auto" w:sz="8" w:space="0"/>
            </w:tcBorders>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接入单位全称</w:t>
            </w:r>
          </w:p>
        </w:tc>
        <w:tc>
          <w:tcPr>
            <w:tcW w:w="5602" w:type="dxa"/>
            <w:gridSpan w:val="3"/>
            <w:tcBorders>
              <w:top w:val="single" w:color="auto" w:sz="8" w:space="0"/>
              <w:bottom w:val="single" w:color="auto" w:sz="8" w:space="0"/>
            </w:tcBorders>
            <w:shd w:val="clear" w:color="auto" w:fill="auto"/>
            <w:vAlign w:val="center"/>
          </w:tcPr>
          <w:p>
            <w:pPr>
              <w:spacing w:line="240" w:lineRule="auto"/>
              <w:rPr>
                <w:rFonts w:ascii="宋体" w:hAnsi="宋体"/>
                <w:color w:val="000000"/>
                <w:sz w:val="1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0" w:hRule="atLeast"/>
        </w:trPr>
        <w:tc>
          <w:tcPr>
            <w:tcW w:w="2914" w:type="dxa"/>
            <w:tcBorders>
              <w:top w:val="single" w:color="auto" w:sz="8" w:space="0"/>
            </w:tcBorders>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人员</w:t>
            </w:r>
          </w:p>
        </w:tc>
        <w:tc>
          <w:tcPr>
            <w:tcW w:w="1599" w:type="dxa"/>
            <w:tcBorders>
              <w:top w:val="single" w:color="auto" w:sz="8" w:space="0"/>
            </w:tcBorders>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姓名</w:t>
            </w:r>
          </w:p>
        </w:tc>
        <w:tc>
          <w:tcPr>
            <w:tcW w:w="2048" w:type="dxa"/>
            <w:tcBorders>
              <w:top w:val="single" w:color="auto" w:sz="8" w:space="0"/>
            </w:tcBorders>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手机号码</w:t>
            </w:r>
          </w:p>
        </w:tc>
        <w:tc>
          <w:tcPr>
            <w:tcW w:w="1955" w:type="dxa"/>
            <w:tcBorders>
              <w:top w:val="single" w:color="auto" w:sz="8" w:space="0"/>
            </w:tcBorders>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邮箱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0" w:hRule="atLeast"/>
        </w:trPr>
        <w:tc>
          <w:tcPr>
            <w:tcW w:w="2914" w:type="dxa"/>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接入单位项目负责人</w:t>
            </w:r>
          </w:p>
        </w:tc>
        <w:tc>
          <w:tcPr>
            <w:tcW w:w="1599" w:type="dxa"/>
            <w:shd w:val="clear" w:color="auto" w:fill="auto"/>
            <w:vAlign w:val="center"/>
          </w:tcPr>
          <w:p>
            <w:pPr>
              <w:spacing w:line="240" w:lineRule="auto"/>
              <w:rPr>
                <w:rFonts w:ascii="宋体" w:hAnsi="宋体"/>
                <w:color w:val="000000"/>
                <w:sz w:val="18"/>
                <w:szCs w:val="28"/>
              </w:rPr>
            </w:pPr>
          </w:p>
        </w:tc>
        <w:tc>
          <w:tcPr>
            <w:tcW w:w="2048" w:type="dxa"/>
            <w:shd w:val="clear" w:color="auto" w:fill="auto"/>
            <w:vAlign w:val="center"/>
          </w:tcPr>
          <w:p>
            <w:pPr>
              <w:spacing w:line="240" w:lineRule="auto"/>
              <w:rPr>
                <w:rFonts w:ascii="宋体" w:hAnsi="宋体"/>
                <w:color w:val="000000"/>
                <w:sz w:val="18"/>
                <w:szCs w:val="28"/>
              </w:rPr>
            </w:pPr>
          </w:p>
        </w:tc>
        <w:tc>
          <w:tcPr>
            <w:tcW w:w="1955" w:type="dxa"/>
            <w:shd w:val="clear" w:color="auto" w:fill="auto"/>
            <w:vAlign w:val="center"/>
          </w:tcPr>
          <w:p>
            <w:pPr>
              <w:spacing w:line="240" w:lineRule="auto"/>
              <w:rPr>
                <w:rFonts w:ascii="宋体" w:hAnsi="宋体"/>
                <w:color w:val="000000"/>
                <w:sz w:val="1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0" w:hRule="atLeast"/>
        </w:trPr>
        <w:tc>
          <w:tcPr>
            <w:tcW w:w="2914" w:type="dxa"/>
            <w:tcBorders>
              <w:bottom w:val="single" w:color="auto" w:sz="8" w:space="0"/>
            </w:tcBorders>
            <w:shd w:val="clear" w:color="auto" w:fill="auto"/>
            <w:vAlign w:val="center"/>
          </w:tcPr>
          <w:p>
            <w:pPr>
              <w:spacing w:line="240" w:lineRule="auto"/>
              <w:jc w:val="center"/>
              <w:rPr>
                <w:rFonts w:ascii="宋体" w:hAnsi="宋体"/>
                <w:color w:val="000000"/>
                <w:sz w:val="18"/>
                <w:szCs w:val="28"/>
              </w:rPr>
            </w:pPr>
            <w:r>
              <w:rPr>
                <w:rFonts w:hint="eastAsia" w:ascii="宋体" w:hAnsi="宋体"/>
                <w:color w:val="000000"/>
                <w:sz w:val="18"/>
                <w:szCs w:val="28"/>
              </w:rPr>
              <w:t>接入单位技术负责人</w:t>
            </w:r>
          </w:p>
        </w:tc>
        <w:tc>
          <w:tcPr>
            <w:tcW w:w="1599" w:type="dxa"/>
            <w:tcBorders>
              <w:bottom w:val="single" w:color="auto" w:sz="8" w:space="0"/>
            </w:tcBorders>
            <w:shd w:val="clear" w:color="auto" w:fill="auto"/>
            <w:vAlign w:val="center"/>
          </w:tcPr>
          <w:p>
            <w:pPr>
              <w:spacing w:line="240" w:lineRule="auto"/>
              <w:rPr>
                <w:rFonts w:ascii="宋体" w:hAnsi="宋体"/>
                <w:color w:val="000000"/>
                <w:sz w:val="18"/>
                <w:szCs w:val="28"/>
              </w:rPr>
            </w:pPr>
          </w:p>
        </w:tc>
        <w:tc>
          <w:tcPr>
            <w:tcW w:w="2048" w:type="dxa"/>
            <w:tcBorders>
              <w:bottom w:val="single" w:color="auto" w:sz="8" w:space="0"/>
            </w:tcBorders>
            <w:shd w:val="clear" w:color="auto" w:fill="auto"/>
            <w:vAlign w:val="center"/>
          </w:tcPr>
          <w:p>
            <w:pPr>
              <w:spacing w:line="240" w:lineRule="auto"/>
              <w:rPr>
                <w:rFonts w:ascii="宋体" w:hAnsi="宋体"/>
                <w:color w:val="000000"/>
                <w:sz w:val="18"/>
                <w:szCs w:val="28"/>
              </w:rPr>
            </w:pPr>
          </w:p>
        </w:tc>
        <w:tc>
          <w:tcPr>
            <w:tcW w:w="1955" w:type="dxa"/>
            <w:tcBorders>
              <w:bottom w:val="single" w:color="auto" w:sz="8" w:space="0"/>
            </w:tcBorders>
            <w:shd w:val="clear" w:color="auto" w:fill="auto"/>
            <w:vAlign w:val="center"/>
          </w:tcPr>
          <w:p>
            <w:pPr>
              <w:spacing w:line="240" w:lineRule="auto"/>
              <w:rPr>
                <w:rFonts w:ascii="宋体" w:hAnsi="宋体"/>
                <w:color w:val="000000"/>
                <w:sz w:val="1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0" w:hRule="atLeast"/>
        </w:trPr>
        <w:tc>
          <w:tcPr>
            <w:tcW w:w="8516" w:type="dxa"/>
            <w:gridSpan w:val="4"/>
            <w:tcBorders>
              <w:top w:val="single" w:color="auto" w:sz="8" w:space="0"/>
              <w:bottom w:val="single" w:color="auto" w:sz="8" w:space="0"/>
            </w:tcBorders>
            <w:shd w:val="clear" w:color="auto" w:fill="auto"/>
            <w:vAlign w:val="center"/>
          </w:tcPr>
          <w:p>
            <w:pPr>
              <w:pStyle w:val="183"/>
            </w:pPr>
            <w:r>
              <w:rPr>
                <w:rFonts w:hint="eastAsia"/>
              </w:rPr>
              <w:t>接入单位技术负责人指接入单位具体负责该应用系统/项目负责人。</w:t>
            </w:r>
          </w:p>
        </w:tc>
      </w:tr>
    </w:tbl>
    <w:p>
      <w:pPr>
        <w:pStyle w:val="82"/>
        <w:spacing w:before="156" w:after="156"/>
      </w:pPr>
      <w:bookmarkStart w:id="216" w:name="_Toc91593906"/>
      <w:bookmarkStart w:id="217" w:name="_Toc88583475"/>
      <w:bookmarkStart w:id="218" w:name="_Toc89439231"/>
      <w:bookmarkStart w:id="219" w:name="_Toc89073629"/>
      <w:bookmarkStart w:id="220" w:name="_Toc89194121"/>
      <w:bookmarkStart w:id="221" w:name="_Toc89785988"/>
      <w:r>
        <w:rPr>
          <w:rFonts w:hint="eastAsia"/>
        </w:rPr>
        <w:t>应用系统可见范围</w:t>
      </w:r>
      <w:bookmarkEnd w:id="216"/>
      <w:bookmarkEnd w:id="217"/>
      <w:bookmarkEnd w:id="218"/>
      <w:bookmarkEnd w:id="219"/>
      <w:bookmarkEnd w:id="220"/>
      <w:bookmarkEnd w:id="221"/>
    </w:p>
    <w:p>
      <w:pPr>
        <w:pStyle w:val="60"/>
        <w:ind w:firstLine="420"/>
        <w:rPr>
          <w:rFonts w:hAnsi="宋体"/>
        </w:rPr>
      </w:pPr>
      <w:r>
        <w:rPr>
          <w:rFonts w:hint="eastAsia"/>
        </w:rPr>
        <w:t>应说明应用系统的授权访问的单位、人员信息，保证应用系统的可访问，各项功能的正常使用。</w:t>
      </w:r>
    </w:p>
    <w:p>
      <w:pPr>
        <w:pStyle w:val="60"/>
        <w:ind w:firstLine="420"/>
      </w:pPr>
    </w:p>
    <w:p>
      <w:pPr>
        <w:pStyle w:val="60"/>
        <w:ind w:firstLine="420"/>
      </w:pPr>
    </w:p>
    <w:p>
      <w:pPr>
        <w:pStyle w:val="60"/>
        <w:ind w:firstLine="420"/>
        <w:sectPr>
          <w:pgSz w:w="11906" w:h="16838"/>
          <w:pgMar w:top="2410" w:right="1134" w:bottom="1134" w:left="1134" w:header="1418" w:footer="1134" w:gutter="284"/>
          <w:cols w:space="425" w:num="1"/>
          <w:formProt w:val="0"/>
          <w:docGrid w:type="lines" w:linePitch="312" w:charSpace="0"/>
        </w:sectPr>
      </w:pPr>
    </w:p>
    <w:p>
      <w:pPr>
        <w:pStyle w:val="202"/>
      </w:pPr>
    </w:p>
    <w:p>
      <w:pPr>
        <w:pStyle w:val="203"/>
      </w:pPr>
    </w:p>
    <w:p>
      <w:pPr>
        <w:pStyle w:val="80"/>
        <w:spacing w:before="78" w:after="156"/>
      </w:pPr>
      <w:r>
        <w:br w:type="textWrapping"/>
      </w:r>
      <w:bookmarkStart w:id="222" w:name="_Toc89073630"/>
      <w:bookmarkStart w:id="223" w:name="_Toc89785989"/>
      <w:bookmarkStart w:id="224" w:name="_Toc89194122"/>
      <w:bookmarkStart w:id="225" w:name="_Toc91593907"/>
      <w:bookmarkStart w:id="226" w:name="_Toc88583476"/>
      <w:bookmarkStart w:id="227" w:name="_Toc89439232"/>
      <w:r>
        <w:rPr>
          <w:rFonts w:hint="eastAsia"/>
        </w:rPr>
        <w:t>（资料性）</w:t>
      </w:r>
      <w:r>
        <w:br w:type="textWrapping"/>
      </w:r>
      <w:r>
        <w:rPr>
          <w:rFonts w:hint="eastAsia"/>
        </w:rPr>
        <w:t>压测报告</w:t>
      </w:r>
      <w:bookmarkEnd w:id="222"/>
      <w:bookmarkEnd w:id="223"/>
      <w:bookmarkEnd w:id="224"/>
      <w:bookmarkEnd w:id="225"/>
      <w:bookmarkEnd w:id="226"/>
      <w:bookmarkEnd w:id="227"/>
    </w:p>
    <w:p>
      <w:pPr>
        <w:pStyle w:val="82"/>
        <w:spacing w:before="156" w:after="156"/>
      </w:pPr>
      <w:bookmarkStart w:id="228" w:name="_Toc89073632"/>
      <w:bookmarkStart w:id="229" w:name="_Toc89194124"/>
      <w:bookmarkStart w:id="230" w:name="_Toc89785990"/>
      <w:bookmarkStart w:id="231" w:name="_Toc88583478"/>
      <w:bookmarkStart w:id="232" w:name="_Toc91593908"/>
      <w:bookmarkStart w:id="233" w:name="_Toc89439234"/>
      <w:r>
        <w:rPr>
          <w:rFonts w:hint="eastAsia"/>
        </w:rPr>
        <w:t>压测方法</w:t>
      </w:r>
      <w:bookmarkEnd w:id="228"/>
      <w:bookmarkEnd w:id="229"/>
      <w:bookmarkEnd w:id="230"/>
      <w:bookmarkEnd w:id="231"/>
      <w:bookmarkEnd w:id="232"/>
      <w:bookmarkEnd w:id="233"/>
    </w:p>
    <w:p>
      <w:pPr>
        <w:pStyle w:val="60"/>
        <w:ind w:firstLine="420"/>
      </w:pPr>
      <w:r>
        <w:rPr>
          <w:rFonts w:hint="eastAsia"/>
        </w:rPr>
        <w:t>应对应用系统接口进行摸高压测，得出稳定值后采用固定模式压测。</w:t>
      </w:r>
    </w:p>
    <w:p>
      <w:pPr>
        <w:pStyle w:val="82"/>
        <w:spacing w:before="156" w:after="156"/>
      </w:pPr>
      <w:bookmarkStart w:id="234" w:name="_Toc89073633"/>
      <w:bookmarkStart w:id="235" w:name="_Toc89194125"/>
      <w:bookmarkStart w:id="236" w:name="_Toc89785991"/>
      <w:bookmarkStart w:id="237" w:name="_Toc88583479"/>
      <w:bookmarkStart w:id="238" w:name="_Toc91593909"/>
      <w:bookmarkStart w:id="239" w:name="_Toc89439235"/>
      <w:r>
        <w:rPr>
          <w:rFonts w:hint="eastAsia"/>
        </w:rPr>
        <w:t>压测工具及环境</w:t>
      </w:r>
      <w:bookmarkEnd w:id="234"/>
      <w:bookmarkEnd w:id="235"/>
      <w:bookmarkEnd w:id="236"/>
      <w:bookmarkEnd w:id="237"/>
      <w:bookmarkEnd w:id="238"/>
      <w:bookmarkEnd w:id="239"/>
    </w:p>
    <w:p>
      <w:pPr>
        <w:pStyle w:val="83"/>
        <w:spacing w:before="156" w:after="156"/>
      </w:pPr>
      <w:r>
        <w:rPr>
          <w:rFonts w:hint="eastAsia"/>
        </w:rPr>
        <w:t>压测工具</w:t>
      </w:r>
    </w:p>
    <w:p>
      <w:pPr>
        <w:pStyle w:val="60"/>
        <w:ind w:firstLine="420"/>
      </w:pPr>
      <w:r>
        <w:rPr>
          <w:rFonts w:hint="eastAsia"/>
        </w:rPr>
        <w:t>压测工具示例见表C.1。</w:t>
      </w:r>
    </w:p>
    <w:p>
      <w:pPr>
        <w:pStyle w:val="81"/>
        <w:spacing w:before="156" w:after="156"/>
      </w:pPr>
      <w:r>
        <w:rPr>
          <w:rFonts w:hint="eastAsia"/>
        </w:rPr>
        <w:t>压测工具</w:t>
      </w:r>
    </w:p>
    <w:tbl>
      <w:tblPr>
        <w:tblStyle w:val="37"/>
        <w:tblW w:w="93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667"/>
        <w:gridCol w:w="4667"/>
      </w:tblGrid>
      <w:tr>
        <w:trPr>
          <w:tblHeader/>
          <w:jc w:val="center"/>
        </w:trPr>
        <w:tc>
          <w:tcPr>
            <w:tcW w:w="4667" w:type="dxa"/>
            <w:tcBorders>
              <w:top w:val="single" w:color="auto" w:sz="8" w:space="0"/>
              <w:bottom w:val="single" w:color="auto" w:sz="8" w:space="0"/>
            </w:tcBorders>
            <w:vAlign w:val="center"/>
          </w:tcPr>
          <w:p>
            <w:pPr>
              <w:spacing w:line="240" w:lineRule="auto"/>
              <w:jc w:val="center"/>
              <w:rPr>
                <w:rFonts w:ascii="宋体" w:hAnsi="宋体"/>
                <w:sz w:val="18"/>
                <w:szCs w:val="24"/>
              </w:rPr>
            </w:pPr>
            <w:r>
              <w:rPr>
                <w:rFonts w:hint="eastAsia" w:ascii="宋体" w:hAnsi="宋体"/>
                <w:sz w:val="18"/>
              </w:rPr>
              <w:t>名称</w:t>
            </w:r>
          </w:p>
        </w:tc>
        <w:tc>
          <w:tcPr>
            <w:tcW w:w="4667" w:type="dxa"/>
            <w:tcBorders>
              <w:top w:val="single" w:color="auto" w:sz="8" w:space="0"/>
              <w:bottom w:val="single" w:color="auto" w:sz="8" w:space="0"/>
            </w:tcBorders>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667" w:type="dxa"/>
            <w:tcBorders>
              <w:top w:val="single" w:color="auto" w:sz="8" w:space="0"/>
            </w:tcBorders>
            <w:vAlign w:val="center"/>
          </w:tcPr>
          <w:p>
            <w:pPr>
              <w:spacing w:line="240" w:lineRule="auto"/>
              <w:jc w:val="center"/>
              <w:rPr>
                <w:rFonts w:ascii="宋体" w:hAnsi="宋体"/>
                <w:sz w:val="18"/>
              </w:rPr>
            </w:pPr>
            <w:r>
              <w:rPr>
                <w:rFonts w:hint="eastAsia" w:ascii="宋体" w:hAnsi="宋体"/>
                <w:sz w:val="18"/>
              </w:rPr>
              <w:t>数量</w:t>
            </w:r>
          </w:p>
        </w:tc>
        <w:tc>
          <w:tcPr>
            <w:tcW w:w="4667" w:type="dxa"/>
            <w:tcBorders>
              <w:top w:val="single" w:color="auto" w:sz="8" w:space="0"/>
            </w:tcBorders>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667" w:type="dxa"/>
            <w:vAlign w:val="center"/>
          </w:tcPr>
          <w:p>
            <w:pPr>
              <w:spacing w:line="240" w:lineRule="auto"/>
              <w:jc w:val="center"/>
              <w:rPr>
                <w:rFonts w:ascii="宋体" w:hAnsi="宋体"/>
                <w:sz w:val="18"/>
              </w:rPr>
            </w:pPr>
            <w:r>
              <w:rPr>
                <w:rFonts w:hint="eastAsia" w:ascii="宋体" w:hAnsi="宋体"/>
                <w:sz w:val="18"/>
              </w:rPr>
              <w:t>TPS</w:t>
            </w:r>
          </w:p>
        </w:tc>
        <w:tc>
          <w:tcPr>
            <w:tcW w:w="4667" w:type="dxa"/>
            <w:shd w:val="clear" w:color="auto" w:fill="auto"/>
            <w:vAlign w:val="center"/>
          </w:tcPr>
          <w:p>
            <w:pPr>
              <w:pStyle w:val="182"/>
            </w:pPr>
          </w:p>
        </w:tc>
      </w:tr>
    </w:tbl>
    <w:p>
      <w:pPr>
        <w:pStyle w:val="83"/>
        <w:spacing w:before="156" w:after="156"/>
      </w:pPr>
      <w:r>
        <w:rPr>
          <w:rFonts w:hint="eastAsia"/>
        </w:rPr>
        <w:t>压测配置环境</w:t>
      </w:r>
    </w:p>
    <w:p>
      <w:pPr>
        <w:pStyle w:val="60"/>
        <w:ind w:firstLine="420"/>
      </w:pPr>
      <w:r>
        <w:rPr>
          <w:rFonts w:hint="eastAsia"/>
        </w:rPr>
        <w:t>服务器、数据库配置示例见表C</w:t>
      </w:r>
      <w:r>
        <w:t>.2</w:t>
      </w:r>
      <w:r>
        <w:rPr>
          <w:rFonts w:hint="eastAsia"/>
        </w:rPr>
        <w:t>。</w:t>
      </w:r>
    </w:p>
    <w:p>
      <w:pPr>
        <w:pStyle w:val="81"/>
        <w:spacing w:before="156" w:after="156"/>
      </w:pPr>
      <w:r>
        <w:rPr>
          <w:rFonts w:hint="eastAsia"/>
        </w:rPr>
        <w:t>服务器、数据库配置</w:t>
      </w:r>
    </w:p>
    <w:tbl>
      <w:tblPr>
        <w:tblStyle w:val="37"/>
        <w:tblW w:w="93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33"/>
        <w:gridCol w:w="7441"/>
      </w:tblGrid>
      <w:tr>
        <w:trPr>
          <w:jc w:val="center"/>
        </w:trPr>
        <w:tc>
          <w:tcPr>
            <w:tcW w:w="1933" w:type="dxa"/>
            <w:tcBorders>
              <w:top w:val="single" w:color="auto" w:sz="8" w:space="0"/>
              <w:bottom w:val="single" w:color="auto" w:sz="8" w:space="0"/>
            </w:tcBorders>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服务器版本</w:t>
            </w:r>
          </w:p>
        </w:tc>
        <w:tc>
          <w:tcPr>
            <w:tcW w:w="7441" w:type="dxa"/>
            <w:tcBorders>
              <w:top w:val="single" w:color="auto" w:sz="8" w:space="0"/>
              <w:bottom w:val="single" w:color="auto" w:sz="8" w:space="0"/>
            </w:tcBorders>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tcBorders>
              <w:top w:val="single" w:color="auto" w:sz="8" w:space="0"/>
            </w:tcBorders>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应用系统服务器配置</w:t>
            </w:r>
          </w:p>
        </w:tc>
        <w:tc>
          <w:tcPr>
            <w:tcW w:w="7441" w:type="dxa"/>
            <w:tcBorders>
              <w:top w:val="single" w:color="auto" w:sz="8" w:space="0"/>
            </w:tcBorders>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shd w:val="clear" w:color="auto" w:fill="FFFFFF" w:themeFill="background1"/>
            <w:vAlign w:val="center"/>
          </w:tcPr>
          <w:p>
            <w:pPr>
              <w:spacing w:line="240" w:lineRule="auto"/>
              <w:jc w:val="center"/>
              <w:rPr>
                <w:rFonts w:ascii="宋体" w:hAnsi="宋体"/>
                <w:bCs/>
                <w:color w:val="000000"/>
                <w:sz w:val="18"/>
              </w:rPr>
            </w:pPr>
            <w:r>
              <w:rPr>
                <w:rFonts w:ascii="宋体" w:hAnsi="宋体"/>
                <w:bCs/>
                <w:color w:val="000000"/>
                <w:sz w:val="18"/>
              </w:rPr>
              <w:t>JDK</w:t>
            </w:r>
            <w:r>
              <w:rPr>
                <w:rFonts w:hint="eastAsia" w:ascii="宋体" w:hAnsi="宋体"/>
                <w:bCs/>
                <w:color w:val="000000"/>
                <w:sz w:val="18"/>
              </w:rPr>
              <w:t>版本</w:t>
            </w:r>
          </w:p>
        </w:tc>
        <w:tc>
          <w:tcPr>
            <w:tcW w:w="7441" w:type="dxa"/>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中间件版本</w:t>
            </w:r>
          </w:p>
        </w:tc>
        <w:tc>
          <w:tcPr>
            <w:tcW w:w="7441" w:type="dxa"/>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数据库服务器配置</w:t>
            </w:r>
          </w:p>
        </w:tc>
        <w:tc>
          <w:tcPr>
            <w:tcW w:w="7441" w:type="dxa"/>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数据库版本</w:t>
            </w:r>
          </w:p>
        </w:tc>
        <w:tc>
          <w:tcPr>
            <w:tcW w:w="7441" w:type="dxa"/>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Redis服务器配置</w:t>
            </w:r>
          </w:p>
        </w:tc>
        <w:tc>
          <w:tcPr>
            <w:tcW w:w="7441" w:type="dxa"/>
            <w:shd w:val="clear" w:color="auto" w:fill="FFFFFF" w:themeFill="background1"/>
            <w:vAlign w:val="center"/>
          </w:tcPr>
          <w:p>
            <w:pPr>
              <w:spacing w:line="240" w:lineRule="auto"/>
              <w:rPr>
                <w:rFonts w:ascii="宋体" w:hAnsi="宋体"/>
                <w:color w:val="000000"/>
                <w:sz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933" w:type="dxa"/>
            <w:shd w:val="clear" w:color="auto" w:fill="FFFFFF" w:themeFill="background1"/>
            <w:vAlign w:val="center"/>
          </w:tcPr>
          <w:p>
            <w:pPr>
              <w:spacing w:line="240" w:lineRule="auto"/>
              <w:jc w:val="center"/>
              <w:rPr>
                <w:rFonts w:ascii="宋体" w:hAnsi="宋体"/>
                <w:bCs/>
                <w:color w:val="000000"/>
                <w:sz w:val="18"/>
              </w:rPr>
            </w:pPr>
            <w:r>
              <w:rPr>
                <w:rFonts w:hint="eastAsia" w:ascii="宋体" w:hAnsi="宋体"/>
                <w:bCs/>
                <w:color w:val="000000"/>
                <w:sz w:val="18"/>
              </w:rPr>
              <w:t>JVM参数</w:t>
            </w:r>
          </w:p>
        </w:tc>
        <w:tc>
          <w:tcPr>
            <w:tcW w:w="7441" w:type="dxa"/>
            <w:shd w:val="clear" w:color="auto" w:fill="FFFFFF" w:themeFill="background1"/>
            <w:vAlign w:val="center"/>
          </w:tcPr>
          <w:p>
            <w:pPr>
              <w:spacing w:line="240" w:lineRule="auto"/>
              <w:rPr>
                <w:rFonts w:ascii="宋体" w:hAnsi="宋体"/>
                <w:sz w:val="18"/>
              </w:rPr>
            </w:pPr>
          </w:p>
        </w:tc>
      </w:tr>
    </w:tbl>
    <w:p>
      <w:pPr>
        <w:pStyle w:val="82"/>
        <w:spacing w:before="156" w:after="156"/>
      </w:pPr>
      <w:bookmarkStart w:id="240" w:name="_Toc89194126"/>
      <w:bookmarkStart w:id="241" w:name="_Toc89073634"/>
      <w:bookmarkStart w:id="242" w:name="_Toc89439236"/>
      <w:bookmarkStart w:id="243" w:name="_Toc88583480"/>
      <w:bookmarkStart w:id="244" w:name="_Toc89785992"/>
      <w:bookmarkStart w:id="245" w:name="_Toc91593910"/>
      <w:r>
        <w:rPr>
          <w:rFonts w:hint="eastAsia"/>
        </w:rPr>
        <w:t>压测内容</w:t>
      </w:r>
      <w:bookmarkEnd w:id="240"/>
      <w:bookmarkEnd w:id="241"/>
      <w:bookmarkEnd w:id="242"/>
      <w:bookmarkEnd w:id="243"/>
      <w:bookmarkEnd w:id="244"/>
      <w:bookmarkEnd w:id="245"/>
    </w:p>
    <w:p>
      <w:pPr>
        <w:pStyle w:val="60"/>
        <w:ind w:firstLine="420"/>
      </w:pPr>
      <w:r>
        <w:rPr>
          <w:rFonts w:hint="eastAsia"/>
        </w:rPr>
        <w:t>压测内容应按照表C</w:t>
      </w:r>
      <w:r>
        <w:t>.3要求提供压测场景</w:t>
      </w:r>
      <w:r>
        <w:rPr>
          <w:rFonts w:hint="eastAsia"/>
        </w:rPr>
        <w:t>、</w:t>
      </w:r>
      <w:r>
        <w:t>接口名称</w:t>
      </w:r>
      <w:r>
        <w:rPr>
          <w:rFonts w:hint="eastAsia"/>
        </w:rPr>
        <w:t>、</w:t>
      </w:r>
      <w:r>
        <w:t>接口地址</w:t>
      </w:r>
      <w:r>
        <w:rPr>
          <w:rFonts w:hint="eastAsia"/>
        </w:rPr>
        <w:t>、</w:t>
      </w:r>
      <w:r>
        <w:t>备注信息等</w:t>
      </w:r>
      <w:r>
        <w:rPr>
          <w:rFonts w:hint="eastAsia"/>
        </w:rPr>
        <w:t>。</w:t>
      </w:r>
    </w:p>
    <w:p>
      <w:pPr>
        <w:pStyle w:val="81"/>
        <w:spacing w:before="156" w:after="156"/>
      </w:pPr>
      <w:r>
        <w:rPr>
          <w:rFonts w:hint="eastAsia"/>
        </w:rPr>
        <w:t>压测内容</w:t>
      </w:r>
    </w:p>
    <w:tbl>
      <w:tblPr>
        <w:tblStyle w:val="37"/>
        <w:tblW w:w="88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0" w:type="dxa"/>
          <w:bottom w:w="0" w:type="dxa"/>
          <w:right w:w="0" w:type="dxa"/>
        </w:tblCellMar>
      </w:tblPr>
      <w:tblGrid>
        <w:gridCol w:w="1101"/>
        <w:gridCol w:w="1275"/>
        <w:gridCol w:w="3969"/>
        <w:gridCol w:w="2527"/>
      </w:tblGrid>
      <w:tr>
        <w:trPr>
          <w:trHeight w:val="20" w:hRule="atLeast"/>
          <w:jc w:val="center"/>
        </w:trPr>
        <w:tc>
          <w:tcPr>
            <w:tcW w:w="1101" w:type="dxa"/>
            <w:shd w:val="clear" w:color="auto" w:fill="auto"/>
            <w:vAlign w:val="center"/>
          </w:tcPr>
          <w:p>
            <w:pPr>
              <w:snapToGrid w:val="0"/>
              <w:spacing w:line="240" w:lineRule="auto"/>
              <w:jc w:val="center"/>
              <w:rPr>
                <w:rFonts w:ascii="宋体" w:hAnsi="宋体"/>
                <w:sz w:val="18"/>
                <w:szCs w:val="24"/>
              </w:rPr>
            </w:pPr>
            <w:r>
              <w:rPr>
                <w:rFonts w:hint="eastAsia" w:ascii="宋体" w:hAnsi="宋体"/>
                <w:sz w:val="18"/>
              </w:rPr>
              <w:t>压测场景</w:t>
            </w:r>
          </w:p>
        </w:tc>
        <w:tc>
          <w:tcPr>
            <w:tcW w:w="1275" w:type="dxa"/>
            <w:shd w:val="clear" w:color="auto" w:fill="auto"/>
            <w:vAlign w:val="center"/>
          </w:tcPr>
          <w:p>
            <w:pPr>
              <w:snapToGrid w:val="0"/>
              <w:spacing w:line="240" w:lineRule="auto"/>
              <w:jc w:val="center"/>
              <w:rPr>
                <w:rFonts w:ascii="宋体" w:hAnsi="宋体"/>
                <w:sz w:val="18"/>
              </w:rPr>
            </w:pPr>
            <w:r>
              <w:rPr>
                <w:rFonts w:hint="eastAsia" w:ascii="宋体" w:hAnsi="宋体"/>
                <w:sz w:val="18"/>
              </w:rPr>
              <w:t>接口名称</w:t>
            </w:r>
          </w:p>
        </w:tc>
        <w:tc>
          <w:tcPr>
            <w:tcW w:w="3969" w:type="dxa"/>
            <w:shd w:val="clear" w:color="auto" w:fill="auto"/>
            <w:vAlign w:val="center"/>
          </w:tcPr>
          <w:p>
            <w:pPr>
              <w:snapToGrid w:val="0"/>
              <w:spacing w:line="240" w:lineRule="auto"/>
              <w:jc w:val="center"/>
              <w:rPr>
                <w:rFonts w:ascii="宋体" w:hAnsi="宋体"/>
                <w:sz w:val="18"/>
              </w:rPr>
            </w:pPr>
            <w:r>
              <w:rPr>
                <w:rFonts w:hint="eastAsia" w:ascii="宋体" w:hAnsi="宋体"/>
                <w:sz w:val="18"/>
              </w:rPr>
              <w:t>接口地址</w:t>
            </w:r>
          </w:p>
        </w:tc>
        <w:tc>
          <w:tcPr>
            <w:tcW w:w="2527" w:type="dxa"/>
            <w:shd w:val="clear" w:color="auto" w:fill="auto"/>
            <w:vAlign w:val="center"/>
          </w:tcPr>
          <w:p>
            <w:pPr>
              <w:snapToGrid w:val="0"/>
              <w:spacing w:line="240" w:lineRule="auto"/>
              <w:jc w:val="center"/>
              <w:rPr>
                <w:rFonts w:ascii="宋体" w:hAnsi="宋体"/>
                <w:sz w:val="18"/>
              </w:rPr>
            </w:pPr>
            <w:r>
              <w:rPr>
                <w:rFonts w:hint="eastAsia" w:ascii="宋体" w:hAnsi="宋体"/>
                <w:sz w:val="18"/>
              </w:rPr>
              <w:t>备注（有无缓存）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PrEx>
        <w:trPr>
          <w:trHeight w:val="20" w:hRule="atLeast"/>
          <w:jc w:val="center"/>
        </w:trPr>
        <w:tc>
          <w:tcPr>
            <w:tcW w:w="1101" w:type="dxa"/>
            <w:shd w:val="clear" w:color="auto" w:fill="auto"/>
            <w:vAlign w:val="center"/>
          </w:tcPr>
          <w:p>
            <w:pPr>
              <w:snapToGrid w:val="0"/>
              <w:spacing w:line="240" w:lineRule="auto"/>
              <w:jc w:val="center"/>
              <w:rPr>
                <w:rFonts w:ascii="宋体" w:hAnsi="宋体"/>
                <w:sz w:val="18"/>
              </w:rPr>
            </w:pPr>
          </w:p>
        </w:tc>
        <w:tc>
          <w:tcPr>
            <w:tcW w:w="1275" w:type="dxa"/>
            <w:shd w:val="clear" w:color="auto" w:fill="auto"/>
            <w:vAlign w:val="center"/>
          </w:tcPr>
          <w:p>
            <w:pPr>
              <w:snapToGrid w:val="0"/>
              <w:spacing w:line="240" w:lineRule="auto"/>
              <w:jc w:val="center"/>
              <w:rPr>
                <w:rFonts w:ascii="宋体" w:hAnsi="宋体"/>
                <w:sz w:val="18"/>
              </w:rPr>
            </w:pPr>
          </w:p>
        </w:tc>
        <w:tc>
          <w:tcPr>
            <w:tcW w:w="3969" w:type="dxa"/>
            <w:shd w:val="clear" w:color="auto" w:fill="auto"/>
            <w:vAlign w:val="center"/>
          </w:tcPr>
          <w:p>
            <w:pPr>
              <w:snapToGrid w:val="0"/>
              <w:spacing w:line="240" w:lineRule="auto"/>
              <w:rPr>
                <w:rFonts w:ascii="宋体" w:hAnsi="宋体"/>
                <w:sz w:val="18"/>
              </w:rPr>
            </w:pPr>
          </w:p>
        </w:tc>
        <w:tc>
          <w:tcPr>
            <w:tcW w:w="2527" w:type="dxa"/>
            <w:shd w:val="clear" w:color="auto" w:fill="auto"/>
            <w:vAlign w:val="center"/>
          </w:tcPr>
          <w:p>
            <w:pPr>
              <w:snapToGrid w:val="0"/>
              <w:spacing w:line="240" w:lineRule="auto"/>
              <w:rPr>
                <w:rFonts w:ascii="宋体" w:hAnsi="宋体"/>
                <w:sz w:val="18"/>
              </w:rPr>
            </w:pPr>
          </w:p>
        </w:tc>
      </w:tr>
    </w:tbl>
    <w:p>
      <w:pPr>
        <w:pStyle w:val="82"/>
        <w:spacing w:before="156" w:after="156"/>
      </w:pPr>
      <w:bookmarkStart w:id="246" w:name="_Toc88583481"/>
      <w:bookmarkStart w:id="247" w:name="_Toc89439237"/>
      <w:bookmarkStart w:id="248" w:name="_Toc91593911"/>
      <w:bookmarkStart w:id="249" w:name="_Toc89194127"/>
      <w:bookmarkStart w:id="250" w:name="_Toc89073635"/>
      <w:bookmarkStart w:id="251" w:name="_Toc89785993"/>
      <w:r>
        <w:rPr>
          <w:rFonts w:hint="eastAsia"/>
        </w:rPr>
        <w:t>压测场景及过程</w:t>
      </w:r>
      <w:bookmarkEnd w:id="246"/>
      <w:bookmarkEnd w:id="247"/>
      <w:bookmarkEnd w:id="248"/>
      <w:bookmarkEnd w:id="249"/>
      <w:bookmarkEnd w:id="250"/>
      <w:bookmarkEnd w:id="251"/>
    </w:p>
    <w:p>
      <w:pPr>
        <w:pStyle w:val="60"/>
        <w:ind w:firstLine="420"/>
      </w:pPr>
      <w:r>
        <w:t>压测场景应</w:t>
      </w:r>
      <w:r>
        <w:rPr>
          <w:rFonts w:hint="eastAsia"/>
        </w:rPr>
        <w:t>提供软件测量结果的测量单位、测试结果、响应时间、服务器指标等。如需调整测量单位，应按照场景性能进行适当调整。</w:t>
      </w:r>
    </w:p>
    <w:p>
      <w:pPr>
        <w:pStyle w:val="82"/>
        <w:spacing w:before="156" w:after="156"/>
      </w:pPr>
      <w:bookmarkStart w:id="252" w:name="_Toc88583482"/>
      <w:bookmarkStart w:id="253" w:name="_Toc89073636"/>
      <w:bookmarkStart w:id="254" w:name="_Toc89785994"/>
      <w:bookmarkStart w:id="255" w:name="_Toc89439238"/>
      <w:bookmarkStart w:id="256" w:name="_Toc91593912"/>
      <w:bookmarkStart w:id="257" w:name="_Toc89194128"/>
      <w:r>
        <w:rPr>
          <w:rFonts w:hint="eastAsia"/>
        </w:rPr>
        <w:t>压测总结</w:t>
      </w:r>
      <w:bookmarkEnd w:id="252"/>
      <w:bookmarkEnd w:id="253"/>
      <w:bookmarkEnd w:id="254"/>
      <w:bookmarkEnd w:id="255"/>
      <w:bookmarkEnd w:id="256"/>
      <w:bookmarkEnd w:id="257"/>
    </w:p>
    <w:p>
      <w:pPr>
        <w:pStyle w:val="60"/>
        <w:ind w:firstLine="420"/>
      </w:pPr>
      <w:r>
        <w:rPr>
          <w:rFonts w:hint="eastAsia"/>
        </w:rPr>
        <w:t>压测总结内容应包括压测场景名称、测量单位、成功率、平均响应时间、服务器指标等。</w:t>
      </w:r>
    </w:p>
    <w:p>
      <w:pPr>
        <w:pStyle w:val="60"/>
        <w:ind w:firstLine="420"/>
      </w:pPr>
    </w:p>
    <w:p>
      <w:pPr>
        <w:pStyle w:val="60"/>
        <w:ind w:firstLine="420"/>
        <w:sectPr>
          <w:pgSz w:w="11906" w:h="16838"/>
          <w:pgMar w:top="2410" w:right="1134" w:bottom="1134" w:left="1134" w:header="1418" w:footer="1134" w:gutter="284"/>
          <w:cols w:space="425" w:num="1"/>
          <w:formProt w:val="0"/>
          <w:docGrid w:type="lines" w:linePitch="312" w:charSpace="0"/>
        </w:sectPr>
      </w:pPr>
    </w:p>
    <w:p>
      <w:pPr>
        <w:pStyle w:val="202"/>
      </w:pPr>
    </w:p>
    <w:p>
      <w:pPr>
        <w:pStyle w:val="203"/>
      </w:pPr>
    </w:p>
    <w:p>
      <w:pPr>
        <w:pStyle w:val="80"/>
        <w:spacing w:before="78" w:after="156"/>
      </w:pPr>
      <w:r>
        <w:br w:type="textWrapping"/>
      </w:r>
      <w:bookmarkStart w:id="258" w:name="_Toc89785995"/>
      <w:bookmarkStart w:id="259" w:name="_Toc89439239"/>
      <w:bookmarkStart w:id="260" w:name="_Toc89073637"/>
      <w:bookmarkStart w:id="261" w:name="_Toc89194129"/>
      <w:bookmarkStart w:id="262" w:name="_Toc91593913"/>
      <w:bookmarkStart w:id="263" w:name="_Toc88583483"/>
      <w:r>
        <w:rPr>
          <w:rFonts w:hint="eastAsia"/>
        </w:rPr>
        <w:t>（资料性）</w:t>
      </w:r>
      <w:r>
        <w:br w:type="textWrapping"/>
      </w:r>
      <w:r>
        <w:rPr>
          <w:rFonts w:hint="eastAsia"/>
        </w:rPr>
        <w:t>应急预案</w:t>
      </w:r>
      <w:bookmarkEnd w:id="258"/>
      <w:bookmarkEnd w:id="259"/>
      <w:bookmarkEnd w:id="260"/>
      <w:bookmarkEnd w:id="261"/>
      <w:bookmarkEnd w:id="262"/>
      <w:bookmarkEnd w:id="263"/>
    </w:p>
    <w:p>
      <w:pPr>
        <w:pStyle w:val="82"/>
        <w:spacing w:before="156" w:after="156"/>
      </w:pPr>
      <w:bookmarkStart w:id="264" w:name="_Toc89073639"/>
      <w:bookmarkStart w:id="265" w:name="_Toc88583485"/>
      <w:bookmarkStart w:id="266" w:name="_Toc89439241"/>
      <w:bookmarkStart w:id="267" w:name="_Toc91593914"/>
      <w:bookmarkStart w:id="268" w:name="_Toc89194131"/>
      <w:bookmarkStart w:id="269" w:name="_Toc89785997"/>
      <w:r>
        <w:rPr>
          <w:rFonts w:hint="eastAsia"/>
        </w:rPr>
        <w:t>系统备份与恢复方案</w:t>
      </w:r>
      <w:bookmarkEnd w:id="264"/>
      <w:bookmarkEnd w:id="265"/>
      <w:bookmarkEnd w:id="266"/>
      <w:bookmarkEnd w:id="267"/>
      <w:bookmarkEnd w:id="268"/>
      <w:bookmarkEnd w:id="269"/>
    </w:p>
    <w:p>
      <w:pPr>
        <w:pStyle w:val="60"/>
        <w:ind w:firstLine="420"/>
      </w:pPr>
      <w:r>
        <w:t>应用系统备份与恢复方案要求主要包括</w:t>
      </w:r>
      <w:r>
        <w:rPr>
          <w:rFonts w:hint="eastAsia"/>
        </w:rPr>
        <w:t>：</w:t>
      </w:r>
    </w:p>
    <w:p>
      <w:pPr>
        <w:pStyle w:val="178"/>
        <w:numPr>
          <w:ilvl w:val="0"/>
          <w:numId w:val="40"/>
        </w:numPr>
      </w:pPr>
      <w:r>
        <w:rPr>
          <w:rFonts w:hint="eastAsia"/>
        </w:rPr>
        <w:t>应提供应用系统相关的软件程序、数据库定期备份策略，数据备份宜在服务器本地和异地进行同时备份，保证备份数据的可靠性；</w:t>
      </w:r>
    </w:p>
    <w:p>
      <w:pPr>
        <w:pStyle w:val="178"/>
        <w:rPr>
          <w:rFonts w:hAnsi="宋体"/>
        </w:rPr>
      </w:pPr>
      <w:r>
        <w:rPr>
          <w:rFonts w:hint="eastAsia"/>
        </w:rPr>
        <w:t>应提供系统备份和恢复的操作脚本，其中系统备份脚本用于在定期备份策略失败时采用人工方式进行软件程序和数据备份。</w:t>
      </w:r>
    </w:p>
    <w:p>
      <w:pPr>
        <w:pStyle w:val="82"/>
        <w:spacing w:before="156" w:after="156"/>
      </w:pPr>
      <w:bookmarkStart w:id="270" w:name="_Toc89439242"/>
      <w:bookmarkStart w:id="271" w:name="_Toc88583486"/>
      <w:bookmarkStart w:id="272" w:name="_Toc89073640"/>
      <w:bookmarkStart w:id="273" w:name="_Toc89194132"/>
      <w:bookmarkStart w:id="274" w:name="_Toc89785998"/>
      <w:bookmarkStart w:id="275" w:name="_Toc91593915"/>
      <w:r>
        <w:rPr>
          <w:rFonts w:hint="eastAsia"/>
        </w:rPr>
        <w:t>系统故障处理预案</w:t>
      </w:r>
      <w:bookmarkEnd w:id="270"/>
      <w:bookmarkEnd w:id="271"/>
      <w:bookmarkEnd w:id="272"/>
      <w:bookmarkEnd w:id="273"/>
      <w:bookmarkEnd w:id="274"/>
      <w:bookmarkEnd w:id="275"/>
    </w:p>
    <w:p>
      <w:pPr>
        <w:pStyle w:val="60"/>
        <w:ind w:firstLine="420"/>
      </w:pPr>
      <w:r>
        <w:rPr>
          <w:rFonts w:hint="eastAsia"/>
        </w:rPr>
        <w:t>应用系统故障处理预案应提供常见应用系统故障的处理方案，常见故障主要包括：</w:t>
      </w:r>
    </w:p>
    <w:p>
      <w:pPr>
        <w:pStyle w:val="178"/>
        <w:numPr>
          <w:ilvl w:val="0"/>
          <w:numId w:val="41"/>
        </w:numPr>
        <w:rPr>
          <w:rFonts w:hAnsi="宋体"/>
        </w:rPr>
      </w:pPr>
      <w:r>
        <w:rPr>
          <w:rFonts w:hint="eastAsia"/>
        </w:rPr>
        <w:t>应用系统宕机、服务组件不可用等情况；</w:t>
      </w:r>
    </w:p>
    <w:p>
      <w:pPr>
        <w:pStyle w:val="178"/>
      </w:pPr>
      <w:r>
        <w:rPr>
          <w:rFonts w:hint="eastAsia"/>
        </w:rPr>
        <w:t>应用系统宕机故障处理；</w:t>
      </w:r>
    </w:p>
    <w:p>
      <w:pPr>
        <w:pStyle w:val="178"/>
      </w:pPr>
      <w:r>
        <w:rPr>
          <w:rFonts w:hint="eastAsia"/>
        </w:rPr>
        <w:t>应用系统超限预案；</w:t>
      </w:r>
    </w:p>
    <w:p>
      <w:pPr>
        <w:pStyle w:val="178"/>
      </w:pPr>
      <w:r>
        <w:rPr>
          <w:rFonts w:hint="eastAsia"/>
        </w:rPr>
        <w:t>应用系统某个服务组件不可用故障处理；</w:t>
      </w:r>
    </w:p>
    <w:p>
      <w:pPr>
        <w:pStyle w:val="178"/>
      </w:pPr>
      <w:r>
        <w:rPr>
          <w:rFonts w:hint="eastAsia"/>
        </w:rPr>
        <w:t>应用系统某个服务API不可用故障处理。</w:t>
      </w:r>
    </w:p>
    <w:p>
      <w:pPr>
        <w:pStyle w:val="60"/>
        <w:ind w:firstLine="420"/>
      </w:pPr>
    </w:p>
    <w:p>
      <w:pPr>
        <w:pStyle w:val="60"/>
        <w:ind w:firstLine="420"/>
        <w:sectPr>
          <w:pgSz w:w="11906" w:h="16838"/>
          <w:pgMar w:top="2410" w:right="1134" w:bottom="1134" w:left="1134" w:header="1418" w:footer="1134" w:gutter="284"/>
          <w:cols w:space="425" w:num="1"/>
          <w:formProt w:val="0"/>
          <w:docGrid w:type="lines" w:linePitch="312" w:charSpace="0"/>
        </w:sectPr>
      </w:pPr>
    </w:p>
    <w:p>
      <w:pPr>
        <w:pStyle w:val="202"/>
      </w:pPr>
    </w:p>
    <w:p>
      <w:pPr>
        <w:pStyle w:val="203"/>
      </w:pPr>
    </w:p>
    <w:p>
      <w:pPr>
        <w:pStyle w:val="80"/>
        <w:spacing w:before="78" w:after="156"/>
      </w:pPr>
      <w:r>
        <w:br w:type="textWrapping"/>
      </w:r>
      <w:bookmarkStart w:id="276" w:name="_Toc89439243"/>
      <w:bookmarkStart w:id="277" w:name="_Toc89194133"/>
      <w:bookmarkStart w:id="278" w:name="_Toc91593916"/>
      <w:bookmarkStart w:id="279" w:name="_Toc89785999"/>
      <w:bookmarkStart w:id="280" w:name="_Toc89073641"/>
      <w:r>
        <w:rPr>
          <w:rFonts w:hint="eastAsia"/>
        </w:rPr>
        <w:t>（规范性）</w:t>
      </w:r>
      <w:r>
        <w:br w:type="textWrapping"/>
      </w:r>
      <w:r>
        <w:rPr>
          <w:rFonts w:hint="eastAsia"/>
        </w:rPr>
        <w:t>测试报告</w:t>
      </w:r>
      <w:bookmarkEnd w:id="276"/>
      <w:bookmarkEnd w:id="277"/>
      <w:bookmarkEnd w:id="278"/>
      <w:bookmarkEnd w:id="279"/>
      <w:bookmarkEnd w:id="280"/>
    </w:p>
    <w:p>
      <w:pPr>
        <w:pStyle w:val="60"/>
        <w:ind w:firstLine="420"/>
      </w:pPr>
      <w:r>
        <w:rPr>
          <w:rFonts w:hint="eastAsia"/>
        </w:rPr>
        <w:t>应用系统接入测试报告见表E.1。</w:t>
      </w:r>
    </w:p>
    <w:p>
      <w:pPr>
        <w:pStyle w:val="81"/>
        <w:spacing w:before="156" w:after="156"/>
      </w:pPr>
      <w:r>
        <w:rPr>
          <w:rFonts w:hint="eastAsia"/>
        </w:rPr>
        <w:t>测试报告</w:t>
      </w:r>
    </w:p>
    <w:tbl>
      <w:tblPr>
        <w:tblStyle w:val="36"/>
        <w:tblW w:w="92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80"/>
        <w:gridCol w:w="2409"/>
        <w:gridCol w:w="2410"/>
        <w:gridCol w:w="24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0" w:hRule="atLeast"/>
          <w:jc w:val="center"/>
        </w:trPr>
        <w:tc>
          <w:tcPr>
            <w:tcW w:w="1980" w:type="dxa"/>
            <w:tcBorders>
              <w:top w:val="single" w:color="auto" w:sz="8" w:space="0"/>
              <w:bottom w:val="single" w:color="auto" w:sz="8" w:space="0"/>
            </w:tcBorders>
            <w:shd w:val="clear" w:color="auto" w:fill="auto"/>
            <w:vAlign w:val="center"/>
          </w:tcPr>
          <w:p>
            <w:pPr>
              <w:spacing w:line="240" w:lineRule="auto"/>
              <w:jc w:val="center"/>
              <w:rPr>
                <w:rFonts w:ascii="宋体" w:hAnsi="宋体" w:cs="Arial"/>
                <w:color w:val="000000"/>
                <w:kern w:val="0"/>
                <w:sz w:val="18"/>
                <w:szCs w:val="22"/>
              </w:rPr>
            </w:pPr>
            <w:r>
              <w:rPr>
                <w:rFonts w:hint="eastAsia" w:ascii="宋体" w:hAnsi="宋体" w:cs="Arial"/>
                <w:color w:val="000000"/>
                <w:sz w:val="18"/>
                <w:szCs w:val="22"/>
              </w:rPr>
              <w:t>应用系统名称</w:t>
            </w:r>
          </w:p>
        </w:tc>
        <w:tc>
          <w:tcPr>
            <w:tcW w:w="2409" w:type="dxa"/>
            <w:tcBorders>
              <w:top w:val="single" w:color="auto" w:sz="8" w:space="0"/>
              <w:bottom w:val="single" w:color="auto" w:sz="8" w:space="0"/>
            </w:tcBorders>
            <w:shd w:val="clear" w:color="auto" w:fill="auto"/>
            <w:vAlign w:val="center"/>
          </w:tcPr>
          <w:p>
            <w:pPr>
              <w:spacing w:line="240" w:lineRule="auto"/>
              <w:rPr>
                <w:rFonts w:ascii="宋体" w:hAnsi="宋体" w:cs="Arial"/>
                <w:color w:val="D8D8D8"/>
                <w:sz w:val="18"/>
                <w:szCs w:val="22"/>
              </w:rPr>
            </w:pPr>
          </w:p>
        </w:tc>
        <w:tc>
          <w:tcPr>
            <w:tcW w:w="2410" w:type="dxa"/>
            <w:tcBorders>
              <w:top w:val="single" w:color="auto" w:sz="8" w:space="0"/>
              <w:bottom w:val="single" w:color="auto" w:sz="8" w:space="0"/>
            </w:tcBorders>
            <w:shd w:val="clear" w:color="auto" w:fill="auto"/>
            <w:vAlign w:val="center"/>
          </w:tcPr>
          <w:p>
            <w:pPr>
              <w:spacing w:line="240" w:lineRule="auto"/>
              <w:jc w:val="center"/>
              <w:rPr>
                <w:rFonts w:ascii="宋体" w:hAnsi="宋体" w:cs="Arial"/>
                <w:color w:val="D8D8D8"/>
                <w:sz w:val="18"/>
                <w:szCs w:val="22"/>
              </w:rPr>
            </w:pPr>
            <w:r>
              <w:rPr>
                <w:rFonts w:hint="eastAsia" w:ascii="宋体" w:hAnsi="宋体" w:cs="Arial"/>
                <w:color w:val="000000"/>
                <w:sz w:val="18"/>
                <w:szCs w:val="22"/>
              </w:rPr>
              <w:t>接入单位</w:t>
            </w:r>
          </w:p>
        </w:tc>
        <w:tc>
          <w:tcPr>
            <w:tcW w:w="2410" w:type="dxa"/>
            <w:tcBorders>
              <w:top w:val="single" w:color="auto" w:sz="8" w:space="0"/>
              <w:bottom w:val="single" w:color="auto" w:sz="8" w:space="0"/>
            </w:tcBorders>
            <w:shd w:val="clear" w:color="auto" w:fill="auto"/>
            <w:vAlign w:val="center"/>
          </w:tcPr>
          <w:p>
            <w:pPr>
              <w:spacing w:line="240" w:lineRule="auto"/>
              <w:rPr>
                <w:rFonts w:ascii="宋体" w:hAnsi="宋体" w:cs="Arial"/>
                <w:color w:val="D8D8D8"/>
                <w:sz w:val="18"/>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0" w:hRule="atLeast"/>
          <w:jc w:val="center"/>
        </w:trPr>
        <w:tc>
          <w:tcPr>
            <w:tcW w:w="1980" w:type="dxa"/>
            <w:tcBorders>
              <w:top w:val="single" w:color="auto" w:sz="8" w:space="0"/>
            </w:tcBorders>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color w:val="000000"/>
                <w:sz w:val="18"/>
                <w:szCs w:val="22"/>
              </w:rPr>
              <w:t>测试范围</w:t>
            </w:r>
          </w:p>
        </w:tc>
        <w:tc>
          <w:tcPr>
            <w:tcW w:w="7229" w:type="dxa"/>
            <w:gridSpan w:val="3"/>
            <w:tcBorders>
              <w:top w:val="single" w:color="auto" w:sz="8" w:space="0"/>
            </w:tcBorders>
            <w:shd w:val="clear" w:color="auto" w:fill="auto"/>
            <w:vAlign w:val="center"/>
          </w:tcPr>
          <w:p>
            <w:pPr>
              <w:spacing w:line="240" w:lineRule="auto"/>
              <w:rPr>
                <w:rFonts w:ascii="宋体" w:hAnsi="宋体" w:cs="Arial"/>
                <w:color w:val="000000"/>
                <w:sz w:val="18"/>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0" w:hRule="atLeast"/>
          <w:jc w:val="center"/>
        </w:trPr>
        <w:tc>
          <w:tcPr>
            <w:tcW w:w="198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color w:val="000000"/>
                <w:sz w:val="18"/>
                <w:szCs w:val="22"/>
              </w:rPr>
              <w:t>测试结果</w:t>
            </w:r>
          </w:p>
        </w:tc>
        <w:tc>
          <w:tcPr>
            <w:tcW w:w="7229" w:type="dxa"/>
            <w:gridSpan w:val="3"/>
            <w:shd w:val="clear" w:color="auto" w:fill="auto"/>
            <w:vAlign w:val="center"/>
          </w:tcPr>
          <w:p>
            <w:pPr>
              <w:spacing w:line="240" w:lineRule="auto"/>
              <w:rPr>
                <w:rFonts w:ascii="宋体" w:hAnsi="宋体" w:cs="Arial"/>
                <w:color w:val="D8D8D8"/>
                <w:sz w:val="18"/>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0" w:hRule="atLeast"/>
          <w:jc w:val="center"/>
        </w:trPr>
        <w:tc>
          <w:tcPr>
            <w:tcW w:w="198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sz w:val="18"/>
                <w:szCs w:val="22"/>
              </w:rPr>
              <w:t>测试时间</w:t>
            </w:r>
          </w:p>
        </w:tc>
        <w:tc>
          <w:tcPr>
            <w:tcW w:w="7229" w:type="dxa"/>
            <w:gridSpan w:val="3"/>
            <w:shd w:val="clear" w:color="auto" w:fill="auto"/>
            <w:vAlign w:val="center"/>
          </w:tcPr>
          <w:p>
            <w:pPr>
              <w:spacing w:line="240" w:lineRule="auto"/>
              <w:rPr>
                <w:rFonts w:ascii="宋体" w:hAnsi="宋体" w:cs="Arial"/>
                <w:color w:val="000000"/>
                <w:sz w:val="18"/>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0" w:hRule="atLeast"/>
          <w:jc w:val="center"/>
        </w:trPr>
        <w:tc>
          <w:tcPr>
            <w:tcW w:w="198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color w:val="000000"/>
                <w:sz w:val="18"/>
                <w:szCs w:val="22"/>
              </w:rPr>
              <w:t>测试人员姓名</w:t>
            </w:r>
          </w:p>
        </w:tc>
        <w:tc>
          <w:tcPr>
            <w:tcW w:w="2409" w:type="dxa"/>
            <w:shd w:val="clear" w:color="auto" w:fill="auto"/>
            <w:vAlign w:val="center"/>
          </w:tcPr>
          <w:p>
            <w:pPr>
              <w:spacing w:line="240" w:lineRule="auto"/>
              <w:rPr>
                <w:rFonts w:ascii="宋体" w:hAnsi="宋体" w:cs="Arial"/>
                <w:color w:val="000000"/>
                <w:sz w:val="18"/>
                <w:szCs w:val="22"/>
              </w:rPr>
            </w:pPr>
          </w:p>
        </w:tc>
        <w:tc>
          <w:tcPr>
            <w:tcW w:w="241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color w:val="000000"/>
                <w:sz w:val="18"/>
                <w:szCs w:val="22"/>
              </w:rPr>
              <w:t>联系电话</w:t>
            </w:r>
          </w:p>
        </w:tc>
        <w:tc>
          <w:tcPr>
            <w:tcW w:w="2410" w:type="dxa"/>
            <w:shd w:val="clear" w:color="auto" w:fill="auto"/>
            <w:vAlign w:val="center"/>
          </w:tcPr>
          <w:p>
            <w:pPr>
              <w:spacing w:line="240" w:lineRule="auto"/>
              <w:rPr>
                <w:rFonts w:ascii="宋体" w:hAnsi="宋体" w:cs="Arial"/>
                <w:color w:val="000000"/>
                <w:sz w:val="18"/>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0" w:hRule="atLeast"/>
          <w:jc w:val="center"/>
        </w:trPr>
        <w:tc>
          <w:tcPr>
            <w:tcW w:w="198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color w:val="000000"/>
                <w:sz w:val="18"/>
                <w:szCs w:val="22"/>
              </w:rPr>
              <w:t>测试环境</w:t>
            </w:r>
          </w:p>
        </w:tc>
        <w:tc>
          <w:tcPr>
            <w:tcW w:w="7229" w:type="dxa"/>
            <w:gridSpan w:val="3"/>
            <w:shd w:val="clear" w:color="auto" w:fill="auto"/>
            <w:vAlign w:val="center"/>
          </w:tcPr>
          <w:p>
            <w:pPr>
              <w:spacing w:line="240" w:lineRule="auto"/>
              <w:rPr>
                <w:rFonts w:ascii="宋体" w:hAnsi="宋体" w:cs="Arial"/>
                <w:color w:val="000000"/>
                <w:sz w:val="18"/>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51" w:hRule="atLeast"/>
          <w:jc w:val="center"/>
        </w:trPr>
        <w:tc>
          <w:tcPr>
            <w:tcW w:w="198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color w:val="000000"/>
                <w:sz w:val="18"/>
                <w:szCs w:val="22"/>
              </w:rPr>
              <w:t>测试/接入单位</w:t>
            </w:r>
          </w:p>
        </w:tc>
        <w:tc>
          <w:tcPr>
            <w:tcW w:w="7229" w:type="dxa"/>
            <w:gridSpan w:val="3"/>
            <w:shd w:val="clear" w:color="auto" w:fill="auto"/>
            <w:vAlign w:val="center"/>
          </w:tcPr>
          <w:p>
            <w:pPr>
              <w:spacing w:line="240" w:lineRule="auto"/>
              <w:rPr>
                <w:rFonts w:ascii="宋体" w:hAnsi="宋体" w:cs="Arial"/>
                <w:color w:val="FF0000"/>
                <w:sz w:val="18"/>
                <w:szCs w:val="22"/>
              </w:rPr>
            </w:pPr>
            <w:r>
              <w:rPr>
                <w:rFonts w:hint="eastAsia" w:ascii="宋体" w:hAnsi="宋体" w:cs="Arial"/>
                <w:sz w:val="18"/>
                <w:szCs w:val="22"/>
              </w:rPr>
              <w:t>（盖章）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51" w:hRule="atLeast"/>
          <w:jc w:val="center"/>
        </w:trPr>
        <w:tc>
          <w:tcPr>
            <w:tcW w:w="1980" w:type="dxa"/>
            <w:shd w:val="clear" w:color="auto" w:fill="auto"/>
            <w:vAlign w:val="center"/>
          </w:tcPr>
          <w:p>
            <w:pPr>
              <w:spacing w:line="240" w:lineRule="auto"/>
              <w:jc w:val="center"/>
              <w:rPr>
                <w:rFonts w:ascii="宋体" w:hAnsi="宋体" w:cs="Arial"/>
                <w:color w:val="000000"/>
                <w:sz w:val="18"/>
                <w:szCs w:val="22"/>
              </w:rPr>
            </w:pPr>
            <w:r>
              <w:rPr>
                <w:rFonts w:hint="eastAsia" w:ascii="宋体" w:hAnsi="宋体" w:cs="Arial"/>
                <w:sz w:val="18"/>
                <w:szCs w:val="22"/>
              </w:rPr>
              <w:t>主管部门</w:t>
            </w:r>
          </w:p>
        </w:tc>
        <w:tc>
          <w:tcPr>
            <w:tcW w:w="7229" w:type="dxa"/>
            <w:gridSpan w:val="3"/>
            <w:shd w:val="clear" w:color="auto" w:fill="auto"/>
            <w:vAlign w:val="center"/>
          </w:tcPr>
          <w:p>
            <w:pPr>
              <w:spacing w:line="240" w:lineRule="auto"/>
              <w:rPr>
                <w:rFonts w:ascii="宋体" w:hAnsi="宋体" w:cs="Arial"/>
                <w:b/>
                <w:bCs/>
                <w:color w:val="FF0000"/>
                <w:sz w:val="18"/>
                <w:szCs w:val="22"/>
              </w:rPr>
            </w:pPr>
            <w:r>
              <w:rPr>
                <w:rFonts w:hint="eastAsia" w:ascii="宋体" w:hAnsi="宋体" w:cs="Arial"/>
                <w:sz w:val="18"/>
                <w:szCs w:val="22"/>
              </w:rPr>
              <w:t>（盖章）</w:t>
            </w:r>
          </w:p>
        </w:tc>
      </w:tr>
      <w:bookmarkEnd w:id="162"/>
    </w:tbl>
    <w:p>
      <w:pPr>
        <w:pStyle w:val="60"/>
        <w:ind w:firstLine="0" w:firstLineChars="0"/>
        <w:jc w:val="center"/>
      </w:pPr>
      <w:bookmarkStart w:id="281" w:name="BookMark8"/>
      <w:r>
        <w:drawing>
          <wp:inline distT="0" distB="0" distL="0" distR="0">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81"/>
    </w:p>
    <w:sectPr>
      <w:pgSz w:w="11906" w:h="16838"/>
      <w:pgMar w:top="2410"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Segoe UI Emoji">
    <w:altName w:val="苹方-简"/>
    <w:panose1 w:val="020B0502040204020203"/>
    <w:charset w:val="00"/>
    <w:family w:val="swiss"/>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儷宋 Pro">
    <w:panose1 w:val="02020300000000000000"/>
    <w:charset w:val="88"/>
    <w:family w:val="auto"/>
    <w:pitch w:val="default"/>
    <w:sig w:usb0="80000001" w:usb1="28091800" w:usb2="00000016" w:usb3="00000000" w:csb0="00100000" w:csb1="00000000"/>
  </w:font>
  <w:font w:name="冬青黑体简体中文">
    <w:panose1 w:val="020B0300000000000000"/>
    <w:charset w:val="86"/>
    <w:family w:val="auto"/>
    <w:pitch w:val="default"/>
    <w:sig w:usb0="A00002BF" w:usb1="1ACF7CFA" w:usb2="00000016" w:usb3="00000000" w:csb0="00060007"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Arial">
    <w:panose1 w:val="020B0604020202090204"/>
    <w:charset w:val="00"/>
    <w:family w:val="swiss"/>
    <w:pitch w:val="default"/>
    <w:sig w:usb0="E0000AFF" w:usb1="00007843" w:usb2="00000001" w:usb3="00000000" w:csb0="400001BF" w:csb1="DFF70000"/>
  </w:font>
  <w:font w:name="MS Mincho">
    <w:altName w:val="Hiragino Sans"/>
    <w:panose1 w:val="02020609040205080304"/>
    <w:charset w:val="80"/>
    <w:family w:val="modern"/>
    <w:pitch w:val="default"/>
    <w:sig w:usb0="00000000" w:usb1="00000000" w:usb2="00000010" w:usb3="00000000" w:csb0="0002009F" w:csb1="00000000"/>
  </w:font>
  <w:font w:name="E-BZ">
    <w:altName w:val="苹方-简"/>
    <w:panose1 w:val="00000000000000000000"/>
    <w:charset w:val="00"/>
    <w:family w:val="roman"/>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宋体-简">
    <w:panose1 w:val="02010800040101010101"/>
    <w:charset w:val="86"/>
    <w:family w:val="auto"/>
    <w:pitch w:val="default"/>
    <w:sig w:usb0="00000001" w:usb1="080F0000" w:usb2="0000000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Monaco">
    <w:panose1 w:val="00000000000000000000"/>
    <w:charset w:val="00"/>
    <w:family w:val="auto"/>
    <w:pitch w:val="default"/>
    <w:sig w:usb0="A00002FF" w:usb1="500039FB" w:usb2="00000000" w:usb3="00000000" w:csb0="20000197" w:csb1="4F000000"/>
  </w:font>
  <w:font w:name="汉仪旗黑">
    <w:panose1 w:val="00020600040101010101"/>
    <w:charset w:val="86"/>
    <w:family w:val="auto"/>
    <w:pitch w:val="default"/>
    <w:sig w:usb0="A00002BF" w:usb1="1ACF7CFA" w:usb2="00000016" w:usb3="00000000" w:csb0="0004009F" w:csb1="DFD70000"/>
  </w:font>
  <w:font w:name="等线 Light">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DB 37/T XXXX.1—2022</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37/T XXXX.1—2022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0F90466B"/>
    <w:multiLevelType w:val="multilevel"/>
    <w:tmpl w:val="0F90466B"/>
    <w:lvl w:ilvl="0" w:tentative="0">
      <w:start w:val="1"/>
      <w:numFmt w:val="decimal"/>
      <w:suff w:val="nothing"/>
      <w:lvlText w:val="%1"/>
      <w:lvlJc w:val="center"/>
      <w:pPr>
        <w:ind w:left="0" w:firstLine="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pStyle w:val="239"/>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5E75467"/>
    <w:multiLevelType w:val="multilevel"/>
    <w:tmpl w:val="55E75467"/>
    <w:lvl w:ilvl="0" w:tentative="0">
      <w:start w:val="1"/>
      <w:numFmt w:val="decimal"/>
      <w:suff w:val="nothing"/>
      <w:lvlText w:val="表%1　"/>
      <w:lvlJc w:val="left"/>
      <w:pPr>
        <w:ind w:left="0" w:firstLine="0"/>
      </w:pPr>
      <w:rPr>
        <w:rFonts w:hint="default" w:ascii="Times New Roman" w:hAnsi="Times New Roman" w:cs="Times New Roman"/>
      </w:rPr>
    </w:lvl>
    <w:lvl w:ilvl="1" w:tentative="0">
      <w:start w:val="1"/>
      <w:numFmt w:val="decimal"/>
      <w:lvlText w:val="%1.%2"/>
      <w:lvlJc w:val="left"/>
      <w:pPr>
        <w:tabs>
          <w:tab w:val="left" w:pos="992"/>
        </w:tabs>
        <w:ind w:left="992" w:hanging="567"/>
      </w:pPr>
      <w:rPr>
        <w:rFonts w:hint="default" w:ascii="Times New Roman" w:hAnsi="Times New Roman" w:cs="Times New Roman"/>
      </w:rPr>
    </w:lvl>
    <w:lvl w:ilvl="2" w:tentative="0">
      <w:start w:val="1"/>
      <w:numFmt w:val="decimal"/>
      <w:lvlText w:val="%1.%2.%3"/>
      <w:lvlJc w:val="left"/>
      <w:pPr>
        <w:tabs>
          <w:tab w:val="left" w:pos="1417"/>
        </w:tabs>
        <w:ind w:left="1417" w:hanging="567"/>
      </w:pPr>
      <w:rPr>
        <w:rFonts w:hint="default" w:ascii="Times New Roman" w:hAnsi="Times New Roman" w:cs="Times New Roman"/>
      </w:rPr>
    </w:lvl>
    <w:lvl w:ilvl="3" w:tentative="0">
      <w:start w:val="1"/>
      <w:numFmt w:val="decimal"/>
      <w:lvlText w:val="%1.%2.%3.%4"/>
      <w:lvlJc w:val="left"/>
      <w:pPr>
        <w:tabs>
          <w:tab w:val="left" w:pos="1984"/>
        </w:tabs>
        <w:ind w:left="1984" w:hanging="708"/>
      </w:pPr>
      <w:rPr>
        <w:rFonts w:hint="default" w:ascii="Times New Roman" w:hAnsi="Times New Roman" w:cs="Times New Roman"/>
      </w:rPr>
    </w:lvl>
    <w:lvl w:ilvl="4" w:tentative="0">
      <w:start w:val="1"/>
      <w:numFmt w:val="decimal"/>
      <w:lvlText w:val="%1.%2.%3.%4.%5"/>
      <w:lvlJc w:val="left"/>
      <w:pPr>
        <w:tabs>
          <w:tab w:val="left" w:pos="2551"/>
        </w:tabs>
        <w:ind w:left="2551" w:hanging="850"/>
      </w:pPr>
      <w:rPr>
        <w:rFonts w:hint="default" w:ascii="Times New Roman" w:hAnsi="Times New Roman" w:cs="Times New Roman"/>
      </w:rPr>
    </w:lvl>
    <w:lvl w:ilvl="5" w:tentative="0">
      <w:start w:val="1"/>
      <w:numFmt w:val="decimal"/>
      <w:lvlText w:val="%1.%2.%3.%4.%5.%6"/>
      <w:lvlJc w:val="left"/>
      <w:pPr>
        <w:tabs>
          <w:tab w:val="left" w:pos="3260"/>
        </w:tabs>
        <w:ind w:left="3260" w:hanging="1134"/>
      </w:pPr>
      <w:rPr>
        <w:rFonts w:hint="default" w:ascii="Times New Roman" w:hAnsi="Times New Roman" w:cs="Times New Roman"/>
      </w:rPr>
    </w:lvl>
    <w:lvl w:ilvl="6" w:tentative="0">
      <w:start w:val="1"/>
      <w:numFmt w:val="decimal"/>
      <w:lvlText w:val="%1.%2.%3.%4.%5.%6.%7"/>
      <w:lvlJc w:val="left"/>
      <w:pPr>
        <w:tabs>
          <w:tab w:val="left" w:pos="3827"/>
        </w:tabs>
        <w:ind w:left="3827" w:hanging="1276"/>
      </w:pPr>
      <w:rPr>
        <w:rFonts w:hint="default" w:ascii="Times New Roman" w:hAnsi="Times New Roman" w:cs="Times New Roman"/>
      </w:rPr>
    </w:lvl>
    <w:lvl w:ilvl="7" w:tentative="0">
      <w:start w:val="1"/>
      <w:numFmt w:val="decimal"/>
      <w:lvlText w:val="%1.%2.%3.%4.%5.%6.%7.%8"/>
      <w:lvlJc w:val="left"/>
      <w:pPr>
        <w:tabs>
          <w:tab w:val="left" w:pos="4394"/>
        </w:tabs>
        <w:ind w:left="4394" w:hanging="1418"/>
      </w:pPr>
      <w:rPr>
        <w:rFonts w:hint="default" w:ascii="Times New Roman" w:hAnsi="Times New Roman" w:cs="Times New Roman"/>
      </w:rPr>
    </w:lvl>
    <w:lvl w:ilvl="8" w:tentative="0">
      <w:start w:val="1"/>
      <w:numFmt w:val="decimal"/>
      <w:lvlText w:val="%1.%2.%3.%4.%5.%6.%7.%8.%9"/>
      <w:lvlJc w:val="left"/>
      <w:pPr>
        <w:tabs>
          <w:tab w:val="left" w:pos="5102"/>
        </w:tabs>
        <w:ind w:left="5102" w:hanging="1700"/>
      </w:pPr>
      <w:rPr>
        <w:rFonts w:hint="default" w:ascii="Times New Roman" w:hAnsi="Times New Roman" w:cs="Times New Roman"/>
      </w:r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4"/>
  </w:num>
  <w:num w:numId="7">
    <w:abstractNumId w:val="9"/>
  </w:num>
  <w:num w:numId="8">
    <w:abstractNumId w:val="3"/>
  </w:num>
  <w:num w:numId="9">
    <w:abstractNumId w:val="10"/>
  </w:num>
  <w:num w:numId="10">
    <w:abstractNumId w:val="17"/>
  </w:num>
  <w:num w:numId="11">
    <w:abstractNumId w:val="27"/>
  </w:num>
  <w:num w:numId="12">
    <w:abstractNumId w:val="12"/>
  </w:num>
  <w:num w:numId="13">
    <w:abstractNumId w:val="13"/>
  </w:num>
  <w:num w:numId="14">
    <w:abstractNumId w:val="8"/>
  </w:num>
  <w:num w:numId="15">
    <w:abstractNumId w:val="21"/>
  </w:num>
  <w:num w:numId="16">
    <w:abstractNumId w:val="23"/>
  </w:num>
  <w:num w:numId="17">
    <w:abstractNumId w:val="18"/>
  </w:num>
  <w:num w:numId="18">
    <w:abstractNumId w:val="31"/>
  </w:num>
  <w:num w:numId="19">
    <w:abstractNumId w:val="16"/>
  </w:num>
  <w:num w:numId="20">
    <w:abstractNumId w:val="1"/>
  </w:num>
  <w:num w:numId="21">
    <w:abstractNumId w:val="11"/>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5"/>
  </w:num>
  <w:num w:numId="30">
    <w:abstractNumId w:val="26"/>
  </w:num>
  <w:num w:numId="31">
    <w:abstractNumId w:val="24"/>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C4"/>
    <w:rsid w:val="0000040A"/>
    <w:rsid w:val="00000A94"/>
    <w:rsid w:val="00001972"/>
    <w:rsid w:val="00001D9A"/>
    <w:rsid w:val="00003A17"/>
    <w:rsid w:val="00007B3A"/>
    <w:rsid w:val="000107E0"/>
    <w:rsid w:val="00011FDE"/>
    <w:rsid w:val="00012969"/>
    <w:rsid w:val="00012FFD"/>
    <w:rsid w:val="00014162"/>
    <w:rsid w:val="00014340"/>
    <w:rsid w:val="00016A9C"/>
    <w:rsid w:val="00022184"/>
    <w:rsid w:val="000221A6"/>
    <w:rsid w:val="00022762"/>
    <w:rsid w:val="00022802"/>
    <w:rsid w:val="000238E0"/>
    <w:rsid w:val="000249DB"/>
    <w:rsid w:val="0002595E"/>
    <w:rsid w:val="000303C3"/>
    <w:rsid w:val="000331D3"/>
    <w:rsid w:val="000346A5"/>
    <w:rsid w:val="000359C3"/>
    <w:rsid w:val="00035A7D"/>
    <w:rsid w:val="000365ED"/>
    <w:rsid w:val="0004249A"/>
    <w:rsid w:val="00043282"/>
    <w:rsid w:val="00044286"/>
    <w:rsid w:val="0004511B"/>
    <w:rsid w:val="00047F28"/>
    <w:rsid w:val="000503AA"/>
    <w:rsid w:val="000506A1"/>
    <w:rsid w:val="000515DD"/>
    <w:rsid w:val="00051F47"/>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425F"/>
    <w:rsid w:val="00086AA1"/>
    <w:rsid w:val="00087A77"/>
    <w:rsid w:val="000907E1"/>
    <w:rsid w:val="00090CA6"/>
    <w:rsid w:val="00092B8A"/>
    <w:rsid w:val="00092FB0"/>
    <w:rsid w:val="000934C5"/>
    <w:rsid w:val="00093D25"/>
    <w:rsid w:val="00093DAB"/>
    <w:rsid w:val="000942DB"/>
    <w:rsid w:val="00094D73"/>
    <w:rsid w:val="00096D63"/>
    <w:rsid w:val="000A0B60"/>
    <w:rsid w:val="000A0EB8"/>
    <w:rsid w:val="000A19FC"/>
    <w:rsid w:val="000A296B"/>
    <w:rsid w:val="000A7311"/>
    <w:rsid w:val="000B060F"/>
    <w:rsid w:val="000B1592"/>
    <w:rsid w:val="000B1790"/>
    <w:rsid w:val="000B1FF2"/>
    <w:rsid w:val="000B3CDA"/>
    <w:rsid w:val="000B6A0B"/>
    <w:rsid w:val="000C0F6C"/>
    <w:rsid w:val="000C11DB"/>
    <w:rsid w:val="000C1492"/>
    <w:rsid w:val="000C14F3"/>
    <w:rsid w:val="000C2FBD"/>
    <w:rsid w:val="000C4544"/>
    <w:rsid w:val="000C4AE3"/>
    <w:rsid w:val="000C4B41"/>
    <w:rsid w:val="000C57D6"/>
    <w:rsid w:val="000C6362"/>
    <w:rsid w:val="000C7666"/>
    <w:rsid w:val="000D0A9C"/>
    <w:rsid w:val="000D1795"/>
    <w:rsid w:val="000D329A"/>
    <w:rsid w:val="000D4A94"/>
    <w:rsid w:val="000D4B9C"/>
    <w:rsid w:val="000D4EB6"/>
    <w:rsid w:val="000D584A"/>
    <w:rsid w:val="000D753B"/>
    <w:rsid w:val="000E4C9E"/>
    <w:rsid w:val="000E6FD7"/>
    <w:rsid w:val="000F06E1"/>
    <w:rsid w:val="000F0E3C"/>
    <w:rsid w:val="000F19D5"/>
    <w:rsid w:val="000F4AEA"/>
    <w:rsid w:val="000F633F"/>
    <w:rsid w:val="000F67E9"/>
    <w:rsid w:val="00104926"/>
    <w:rsid w:val="00105614"/>
    <w:rsid w:val="00106C3F"/>
    <w:rsid w:val="00113B1E"/>
    <w:rsid w:val="0011711C"/>
    <w:rsid w:val="0012059C"/>
    <w:rsid w:val="00121F08"/>
    <w:rsid w:val="00123D76"/>
    <w:rsid w:val="00124E4F"/>
    <w:rsid w:val="001260B7"/>
    <w:rsid w:val="001265CB"/>
    <w:rsid w:val="001321C6"/>
    <w:rsid w:val="001325C4"/>
    <w:rsid w:val="00133010"/>
    <w:rsid w:val="001338EE"/>
    <w:rsid w:val="00133AAE"/>
    <w:rsid w:val="00135323"/>
    <w:rsid w:val="001356C4"/>
    <w:rsid w:val="00141114"/>
    <w:rsid w:val="00142859"/>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4C57"/>
    <w:rsid w:val="00176DFD"/>
    <w:rsid w:val="00177AC2"/>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021"/>
    <w:rsid w:val="001C61D7"/>
    <w:rsid w:val="001C680C"/>
    <w:rsid w:val="001C7FEA"/>
    <w:rsid w:val="001D0499"/>
    <w:rsid w:val="001D0BBE"/>
    <w:rsid w:val="001D0ED4"/>
    <w:rsid w:val="001D1C72"/>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580A"/>
    <w:rsid w:val="001F69B4"/>
    <w:rsid w:val="001F77C7"/>
    <w:rsid w:val="00200183"/>
    <w:rsid w:val="00200333"/>
    <w:rsid w:val="0020107D"/>
    <w:rsid w:val="00202AA4"/>
    <w:rsid w:val="002031F7"/>
    <w:rsid w:val="002040E6"/>
    <w:rsid w:val="0020527B"/>
    <w:rsid w:val="00205F2C"/>
    <w:rsid w:val="00210B15"/>
    <w:rsid w:val="002142EA"/>
    <w:rsid w:val="002159EB"/>
    <w:rsid w:val="002204BB"/>
    <w:rsid w:val="002213EE"/>
    <w:rsid w:val="00221B79"/>
    <w:rsid w:val="00221C6B"/>
    <w:rsid w:val="002225C1"/>
    <w:rsid w:val="0022406E"/>
    <w:rsid w:val="002253A1"/>
    <w:rsid w:val="00225CF8"/>
    <w:rsid w:val="0022794E"/>
    <w:rsid w:val="002335D6"/>
    <w:rsid w:val="00233D64"/>
    <w:rsid w:val="0023482A"/>
    <w:rsid w:val="002359CB"/>
    <w:rsid w:val="00243540"/>
    <w:rsid w:val="0024497B"/>
    <w:rsid w:val="0024515B"/>
    <w:rsid w:val="00246021"/>
    <w:rsid w:val="0024666E"/>
    <w:rsid w:val="00247309"/>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6121"/>
    <w:rsid w:val="002818CF"/>
    <w:rsid w:val="00281BB8"/>
    <w:rsid w:val="00281E9E"/>
    <w:rsid w:val="00282405"/>
    <w:rsid w:val="00285170"/>
    <w:rsid w:val="002851F4"/>
    <w:rsid w:val="00285361"/>
    <w:rsid w:val="00292D60"/>
    <w:rsid w:val="00293B30"/>
    <w:rsid w:val="00294D34"/>
    <w:rsid w:val="00294E3B"/>
    <w:rsid w:val="002956F1"/>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38D"/>
    <w:rsid w:val="002C1A55"/>
    <w:rsid w:val="002C1E06"/>
    <w:rsid w:val="002C1E1C"/>
    <w:rsid w:val="002C3F07"/>
    <w:rsid w:val="002C4B21"/>
    <w:rsid w:val="002C5278"/>
    <w:rsid w:val="002C7EBB"/>
    <w:rsid w:val="002D06C1"/>
    <w:rsid w:val="002D42B5"/>
    <w:rsid w:val="002D4F1A"/>
    <w:rsid w:val="002D6EC6"/>
    <w:rsid w:val="002D79AC"/>
    <w:rsid w:val="002E039D"/>
    <w:rsid w:val="002E109D"/>
    <w:rsid w:val="002E4D5A"/>
    <w:rsid w:val="002E6326"/>
    <w:rsid w:val="002F30E0"/>
    <w:rsid w:val="002F35E4"/>
    <w:rsid w:val="002F3730"/>
    <w:rsid w:val="002F38E1"/>
    <w:rsid w:val="002F748B"/>
    <w:rsid w:val="002F79D8"/>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37380"/>
    <w:rsid w:val="0034194F"/>
    <w:rsid w:val="00344605"/>
    <w:rsid w:val="003474AA"/>
    <w:rsid w:val="00350D1D"/>
    <w:rsid w:val="00352233"/>
    <w:rsid w:val="00352C83"/>
    <w:rsid w:val="00354869"/>
    <w:rsid w:val="003615D2"/>
    <w:rsid w:val="0036429C"/>
    <w:rsid w:val="00364A53"/>
    <w:rsid w:val="003654CB"/>
    <w:rsid w:val="00365AA9"/>
    <w:rsid w:val="00365F86"/>
    <w:rsid w:val="00365F87"/>
    <w:rsid w:val="00366E89"/>
    <w:rsid w:val="003705F4"/>
    <w:rsid w:val="00370D58"/>
    <w:rsid w:val="00371316"/>
    <w:rsid w:val="00376713"/>
    <w:rsid w:val="00377C9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6273"/>
    <w:rsid w:val="003974EB"/>
    <w:rsid w:val="00397CC5"/>
    <w:rsid w:val="003A1582"/>
    <w:rsid w:val="003A4077"/>
    <w:rsid w:val="003B09AD"/>
    <w:rsid w:val="003B1F18"/>
    <w:rsid w:val="003B5BF0"/>
    <w:rsid w:val="003B60BF"/>
    <w:rsid w:val="003B6BE3"/>
    <w:rsid w:val="003C010C"/>
    <w:rsid w:val="003C0A6C"/>
    <w:rsid w:val="003C14F8"/>
    <w:rsid w:val="003C1F07"/>
    <w:rsid w:val="003C302A"/>
    <w:rsid w:val="003C3D70"/>
    <w:rsid w:val="003C5A43"/>
    <w:rsid w:val="003D0519"/>
    <w:rsid w:val="003D0FF6"/>
    <w:rsid w:val="003D262C"/>
    <w:rsid w:val="003D39B6"/>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4DF3"/>
    <w:rsid w:val="004167A3"/>
    <w:rsid w:val="00420454"/>
    <w:rsid w:val="0042479D"/>
    <w:rsid w:val="00432DAA"/>
    <w:rsid w:val="00434305"/>
    <w:rsid w:val="00435DF7"/>
    <w:rsid w:val="0044083F"/>
    <w:rsid w:val="00441AE7"/>
    <w:rsid w:val="00445574"/>
    <w:rsid w:val="004467FB"/>
    <w:rsid w:val="00452637"/>
    <w:rsid w:val="00452D6B"/>
    <w:rsid w:val="00454484"/>
    <w:rsid w:val="0045517B"/>
    <w:rsid w:val="00461A53"/>
    <w:rsid w:val="00463B77"/>
    <w:rsid w:val="00463C7B"/>
    <w:rsid w:val="004644A6"/>
    <w:rsid w:val="004659BD"/>
    <w:rsid w:val="00470775"/>
    <w:rsid w:val="004746B1"/>
    <w:rsid w:val="0047583F"/>
    <w:rsid w:val="00475DE8"/>
    <w:rsid w:val="00481C44"/>
    <w:rsid w:val="00483984"/>
    <w:rsid w:val="00484936"/>
    <w:rsid w:val="00485C89"/>
    <w:rsid w:val="00486BE3"/>
    <w:rsid w:val="004905E4"/>
    <w:rsid w:val="00490A89"/>
    <w:rsid w:val="00490AB4"/>
    <w:rsid w:val="004922C4"/>
    <w:rsid w:val="00492F02"/>
    <w:rsid w:val="004939AE"/>
    <w:rsid w:val="004A12DF"/>
    <w:rsid w:val="004A17E6"/>
    <w:rsid w:val="004A1BA8"/>
    <w:rsid w:val="004A4B57"/>
    <w:rsid w:val="004A63FA"/>
    <w:rsid w:val="004B0272"/>
    <w:rsid w:val="004B2701"/>
    <w:rsid w:val="004B2E1B"/>
    <w:rsid w:val="004B3AA8"/>
    <w:rsid w:val="004B3E93"/>
    <w:rsid w:val="004C1CDC"/>
    <w:rsid w:val="004C1FBC"/>
    <w:rsid w:val="004C3F1D"/>
    <w:rsid w:val="004C458D"/>
    <w:rsid w:val="004C7556"/>
    <w:rsid w:val="004C7E8B"/>
    <w:rsid w:val="004C7E9D"/>
    <w:rsid w:val="004C7F67"/>
    <w:rsid w:val="004D076D"/>
    <w:rsid w:val="004D0EF1"/>
    <w:rsid w:val="004D2253"/>
    <w:rsid w:val="004D4406"/>
    <w:rsid w:val="004D7C42"/>
    <w:rsid w:val="004E0345"/>
    <w:rsid w:val="004E0465"/>
    <w:rsid w:val="004E127B"/>
    <w:rsid w:val="004E1C0A"/>
    <w:rsid w:val="004E2B06"/>
    <w:rsid w:val="004E30C5"/>
    <w:rsid w:val="004E4AA5"/>
    <w:rsid w:val="004E4AEE"/>
    <w:rsid w:val="004E59E3"/>
    <w:rsid w:val="004E67C0"/>
    <w:rsid w:val="004F2913"/>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4966"/>
    <w:rsid w:val="0054632F"/>
    <w:rsid w:val="005479DA"/>
    <w:rsid w:val="00547BCC"/>
    <w:rsid w:val="0055013B"/>
    <w:rsid w:val="00550F0A"/>
    <w:rsid w:val="00551F6F"/>
    <w:rsid w:val="00554BC8"/>
    <w:rsid w:val="00555044"/>
    <w:rsid w:val="00561475"/>
    <w:rsid w:val="0056487B"/>
    <w:rsid w:val="00564FB9"/>
    <w:rsid w:val="00573D9E"/>
    <w:rsid w:val="005801E3"/>
    <w:rsid w:val="00581802"/>
    <w:rsid w:val="00581A25"/>
    <w:rsid w:val="005836A8"/>
    <w:rsid w:val="0058409C"/>
    <w:rsid w:val="00584262"/>
    <w:rsid w:val="00586630"/>
    <w:rsid w:val="00587ADD"/>
    <w:rsid w:val="00591E27"/>
    <w:rsid w:val="00596160"/>
    <w:rsid w:val="005966E2"/>
    <w:rsid w:val="00597007"/>
    <w:rsid w:val="005A0966"/>
    <w:rsid w:val="005A11B7"/>
    <w:rsid w:val="005A13CB"/>
    <w:rsid w:val="005A260B"/>
    <w:rsid w:val="005A4A1B"/>
    <w:rsid w:val="005A671D"/>
    <w:rsid w:val="005A760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5F57EE"/>
    <w:rsid w:val="006015CE"/>
    <w:rsid w:val="00604784"/>
    <w:rsid w:val="00606419"/>
    <w:rsid w:val="00607D29"/>
    <w:rsid w:val="00610799"/>
    <w:rsid w:val="00612952"/>
    <w:rsid w:val="00614CC1"/>
    <w:rsid w:val="00615A9D"/>
    <w:rsid w:val="00617387"/>
    <w:rsid w:val="006205D6"/>
    <w:rsid w:val="006252D8"/>
    <w:rsid w:val="006259BC"/>
    <w:rsid w:val="00625FCA"/>
    <w:rsid w:val="0062636B"/>
    <w:rsid w:val="00630416"/>
    <w:rsid w:val="00631705"/>
    <w:rsid w:val="00632182"/>
    <w:rsid w:val="00632AE0"/>
    <w:rsid w:val="00633C17"/>
    <w:rsid w:val="00634D9E"/>
    <w:rsid w:val="00636E3E"/>
    <w:rsid w:val="006379F7"/>
    <w:rsid w:val="00637E4D"/>
    <w:rsid w:val="00640620"/>
    <w:rsid w:val="00641A1F"/>
    <w:rsid w:val="00645904"/>
    <w:rsid w:val="00646996"/>
    <w:rsid w:val="00651ACB"/>
    <w:rsid w:val="00651C47"/>
    <w:rsid w:val="00652AB2"/>
    <w:rsid w:val="0065346C"/>
    <w:rsid w:val="00653FED"/>
    <w:rsid w:val="00654EC0"/>
    <w:rsid w:val="0065525B"/>
    <w:rsid w:val="00655D4F"/>
    <w:rsid w:val="00656D29"/>
    <w:rsid w:val="006640E5"/>
    <w:rsid w:val="006646F1"/>
    <w:rsid w:val="00664929"/>
    <w:rsid w:val="00664F62"/>
    <w:rsid w:val="006655E1"/>
    <w:rsid w:val="00672060"/>
    <w:rsid w:val="00672A78"/>
    <w:rsid w:val="00672BFD"/>
    <w:rsid w:val="006770F4"/>
    <w:rsid w:val="00677A84"/>
    <w:rsid w:val="0068026D"/>
    <w:rsid w:val="00680A27"/>
    <w:rsid w:val="006816A4"/>
    <w:rsid w:val="006819B8"/>
    <w:rsid w:val="00683B4E"/>
    <w:rsid w:val="006840A6"/>
    <w:rsid w:val="006850CD"/>
    <w:rsid w:val="00685AAB"/>
    <w:rsid w:val="00685D05"/>
    <w:rsid w:val="006940A6"/>
    <w:rsid w:val="00694D03"/>
    <w:rsid w:val="00695D22"/>
    <w:rsid w:val="006A07AA"/>
    <w:rsid w:val="006A25E5"/>
    <w:rsid w:val="006A2B46"/>
    <w:rsid w:val="006A336D"/>
    <w:rsid w:val="006A37B9"/>
    <w:rsid w:val="006B2672"/>
    <w:rsid w:val="006B2926"/>
    <w:rsid w:val="006B520C"/>
    <w:rsid w:val="006B54BF"/>
    <w:rsid w:val="006B5553"/>
    <w:rsid w:val="006B5F44"/>
    <w:rsid w:val="006B5F90"/>
    <w:rsid w:val="006B62E4"/>
    <w:rsid w:val="006C0DB3"/>
    <w:rsid w:val="006C1648"/>
    <w:rsid w:val="006C1BBA"/>
    <w:rsid w:val="006C2079"/>
    <w:rsid w:val="006C5A62"/>
    <w:rsid w:val="006C5D68"/>
    <w:rsid w:val="006C6976"/>
    <w:rsid w:val="006C698E"/>
    <w:rsid w:val="006C6DD0"/>
    <w:rsid w:val="006D04EA"/>
    <w:rsid w:val="006D16C4"/>
    <w:rsid w:val="006D3E96"/>
    <w:rsid w:val="006D4515"/>
    <w:rsid w:val="006D4BB1"/>
    <w:rsid w:val="006D6593"/>
    <w:rsid w:val="006E23EA"/>
    <w:rsid w:val="006F03A8"/>
    <w:rsid w:val="006F206D"/>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0270"/>
    <w:rsid w:val="00773C1F"/>
    <w:rsid w:val="00774DA4"/>
    <w:rsid w:val="00776599"/>
    <w:rsid w:val="0078114B"/>
    <w:rsid w:val="00781DD2"/>
    <w:rsid w:val="00783ECF"/>
    <w:rsid w:val="0078413A"/>
    <w:rsid w:val="0078586E"/>
    <w:rsid w:val="007959E8"/>
    <w:rsid w:val="00795E9C"/>
    <w:rsid w:val="007A0521"/>
    <w:rsid w:val="007A1B0F"/>
    <w:rsid w:val="007A2E12"/>
    <w:rsid w:val="007A3475"/>
    <w:rsid w:val="007A41C8"/>
    <w:rsid w:val="007A4CBA"/>
    <w:rsid w:val="007A54CE"/>
    <w:rsid w:val="007A6FD9"/>
    <w:rsid w:val="007A7FFA"/>
    <w:rsid w:val="007B04EB"/>
    <w:rsid w:val="007B0D4F"/>
    <w:rsid w:val="007B562C"/>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439A"/>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0C20"/>
    <w:rsid w:val="00821D90"/>
    <w:rsid w:val="00823303"/>
    <w:rsid w:val="008233B2"/>
    <w:rsid w:val="00823A9F"/>
    <w:rsid w:val="00823C85"/>
    <w:rsid w:val="00825138"/>
    <w:rsid w:val="008269DD"/>
    <w:rsid w:val="008302BA"/>
    <w:rsid w:val="00830621"/>
    <w:rsid w:val="0083348C"/>
    <w:rsid w:val="008373D3"/>
    <w:rsid w:val="00840617"/>
    <w:rsid w:val="00840F84"/>
    <w:rsid w:val="00842A47"/>
    <w:rsid w:val="00843C13"/>
    <w:rsid w:val="008454F8"/>
    <w:rsid w:val="0085173A"/>
    <w:rsid w:val="008534BC"/>
    <w:rsid w:val="00856316"/>
    <w:rsid w:val="008603CE"/>
    <w:rsid w:val="00860A75"/>
    <w:rsid w:val="008620FC"/>
    <w:rsid w:val="008626D5"/>
    <w:rsid w:val="008627A5"/>
    <w:rsid w:val="00863E05"/>
    <w:rsid w:val="00865ACA"/>
    <w:rsid w:val="00865D28"/>
    <w:rsid w:val="00865F85"/>
    <w:rsid w:val="00867C10"/>
    <w:rsid w:val="00870439"/>
    <w:rsid w:val="00870DA1"/>
    <w:rsid w:val="00872649"/>
    <w:rsid w:val="00883F93"/>
    <w:rsid w:val="00884DB3"/>
    <w:rsid w:val="00885A9D"/>
    <w:rsid w:val="008864F6"/>
    <w:rsid w:val="00886DCB"/>
    <w:rsid w:val="00890085"/>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4B8"/>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388A"/>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01E"/>
    <w:rsid w:val="008F17A3"/>
    <w:rsid w:val="008F1ED3"/>
    <w:rsid w:val="008F23A5"/>
    <w:rsid w:val="008F23B9"/>
    <w:rsid w:val="008F244D"/>
    <w:rsid w:val="008F4C29"/>
    <w:rsid w:val="008F70BD"/>
    <w:rsid w:val="008F788F"/>
    <w:rsid w:val="008F7EA2"/>
    <w:rsid w:val="009002D8"/>
    <w:rsid w:val="00902722"/>
    <w:rsid w:val="009027BC"/>
    <w:rsid w:val="009062E6"/>
    <w:rsid w:val="009100FF"/>
    <w:rsid w:val="00911BE5"/>
    <w:rsid w:val="0091244D"/>
    <w:rsid w:val="00913CA9"/>
    <w:rsid w:val="009145AE"/>
    <w:rsid w:val="009146CE"/>
    <w:rsid w:val="00914CA7"/>
    <w:rsid w:val="00915C3E"/>
    <w:rsid w:val="009161A8"/>
    <w:rsid w:val="00917A3C"/>
    <w:rsid w:val="009245F5"/>
    <w:rsid w:val="009249EC"/>
    <w:rsid w:val="009273B3"/>
    <w:rsid w:val="009305B5"/>
    <w:rsid w:val="00933C3F"/>
    <w:rsid w:val="0094259E"/>
    <w:rsid w:val="009429D5"/>
    <w:rsid w:val="00942BF1"/>
    <w:rsid w:val="00945180"/>
    <w:rsid w:val="00945428"/>
    <w:rsid w:val="0094607B"/>
    <w:rsid w:val="00953604"/>
    <w:rsid w:val="00953B03"/>
    <w:rsid w:val="0095496B"/>
    <w:rsid w:val="009610DC"/>
    <w:rsid w:val="00961490"/>
    <w:rsid w:val="0096381A"/>
    <w:rsid w:val="00965E04"/>
    <w:rsid w:val="009674AD"/>
    <w:rsid w:val="00970CDC"/>
    <w:rsid w:val="00977010"/>
    <w:rsid w:val="00977D02"/>
    <w:rsid w:val="009809BB"/>
    <w:rsid w:val="0098364B"/>
    <w:rsid w:val="00990EBE"/>
    <w:rsid w:val="009911AF"/>
    <w:rsid w:val="00991875"/>
    <w:rsid w:val="00991F92"/>
    <w:rsid w:val="00992985"/>
    <w:rsid w:val="00992AE8"/>
    <w:rsid w:val="00993889"/>
    <w:rsid w:val="00994A9C"/>
    <w:rsid w:val="0099551B"/>
    <w:rsid w:val="00997BF1"/>
    <w:rsid w:val="009A089C"/>
    <w:rsid w:val="009A118E"/>
    <w:rsid w:val="009A21CD"/>
    <w:rsid w:val="009A278C"/>
    <w:rsid w:val="009A2BC2"/>
    <w:rsid w:val="009A42C1"/>
    <w:rsid w:val="009A5429"/>
    <w:rsid w:val="009A67F4"/>
    <w:rsid w:val="009A72AD"/>
    <w:rsid w:val="009A79ED"/>
    <w:rsid w:val="009B09E0"/>
    <w:rsid w:val="009B0BC5"/>
    <w:rsid w:val="009B1247"/>
    <w:rsid w:val="009B6029"/>
    <w:rsid w:val="009B6971"/>
    <w:rsid w:val="009C0D30"/>
    <w:rsid w:val="009C27F1"/>
    <w:rsid w:val="009C3152"/>
    <w:rsid w:val="009C4CFA"/>
    <w:rsid w:val="009C5070"/>
    <w:rsid w:val="009D112C"/>
    <w:rsid w:val="009D23A4"/>
    <w:rsid w:val="009D47FA"/>
    <w:rsid w:val="009D4C5B"/>
    <w:rsid w:val="009D50D2"/>
    <w:rsid w:val="009D6BCA"/>
    <w:rsid w:val="009E0F62"/>
    <w:rsid w:val="009E1C55"/>
    <w:rsid w:val="009E1EE7"/>
    <w:rsid w:val="009E4A58"/>
    <w:rsid w:val="009E5A2D"/>
    <w:rsid w:val="009E5AB2"/>
    <w:rsid w:val="009E6219"/>
    <w:rsid w:val="009F03B3"/>
    <w:rsid w:val="009F14CD"/>
    <w:rsid w:val="009F4FDD"/>
    <w:rsid w:val="00A0096C"/>
    <w:rsid w:val="00A01757"/>
    <w:rsid w:val="00A028C0"/>
    <w:rsid w:val="00A02BAE"/>
    <w:rsid w:val="00A04796"/>
    <w:rsid w:val="00A06A6B"/>
    <w:rsid w:val="00A07E47"/>
    <w:rsid w:val="00A12188"/>
    <w:rsid w:val="00A129D0"/>
    <w:rsid w:val="00A12C33"/>
    <w:rsid w:val="00A138BA"/>
    <w:rsid w:val="00A14C8E"/>
    <w:rsid w:val="00A153D9"/>
    <w:rsid w:val="00A15F09"/>
    <w:rsid w:val="00A169B6"/>
    <w:rsid w:val="00A2271D"/>
    <w:rsid w:val="00A237D5"/>
    <w:rsid w:val="00A30EFC"/>
    <w:rsid w:val="00A316FE"/>
    <w:rsid w:val="00A31984"/>
    <w:rsid w:val="00A32D73"/>
    <w:rsid w:val="00A3367B"/>
    <w:rsid w:val="00A33891"/>
    <w:rsid w:val="00A352D5"/>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625"/>
    <w:rsid w:val="00A83D8D"/>
    <w:rsid w:val="00A8446B"/>
    <w:rsid w:val="00A8473F"/>
    <w:rsid w:val="00A856ED"/>
    <w:rsid w:val="00A862D6"/>
    <w:rsid w:val="00A8715E"/>
    <w:rsid w:val="00A9295B"/>
    <w:rsid w:val="00A93174"/>
    <w:rsid w:val="00A93B09"/>
    <w:rsid w:val="00A94247"/>
    <w:rsid w:val="00A952D7"/>
    <w:rsid w:val="00A963F7"/>
    <w:rsid w:val="00A96AD8"/>
    <w:rsid w:val="00AA052C"/>
    <w:rsid w:val="00AA0DDC"/>
    <w:rsid w:val="00AA1E45"/>
    <w:rsid w:val="00AA4286"/>
    <w:rsid w:val="00AA4428"/>
    <w:rsid w:val="00AA456B"/>
    <w:rsid w:val="00AA57F5"/>
    <w:rsid w:val="00AA672E"/>
    <w:rsid w:val="00AA69C7"/>
    <w:rsid w:val="00AA6EC9"/>
    <w:rsid w:val="00AB41D5"/>
    <w:rsid w:val="00AB6309"/>
    <w:rsid w:val="00AB6C5F"/>
    <w:rsid w:val="00AB7129"/>
    <w:rsid w:val="00AC0D7F"/>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4D1"/>
    <w:rsid w:val="00AF0C18"/>
    <w:rsid w:val="00AF1E3E"/>
    <w:rsid w:val="00AF47C5"/>
    <w:rsid w:val="00AF5398"/>
    <w:rsid w:val="00B049AF"/>
    <w:rsid w:val="00B06277"/>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3DF"/>
    <w:rsid w:val="00B447A5"/>
    <w:rsid w:val="00B4654C"/>
    <w:rsid w:val="00B47293"/>
    <w:rsid w:val="00B50E50"/>
    <w:rsid w:val="00B52120"/>
    <w:rsid w:val="00B54ABC"/>
    <w:rsid w:val="00B54DDE"/>
    <w:rsid w:val="00B56FBE"/>
    <w:rsid w:val="00B57DEC"/>
    <w:rsid w:val="00B60ACF"/>
    <w:rsid w:val="00B62B58"/>
    <w:rsid w:val="00B65149"/>
    <w:rsid w:val="00B66567"/>
    <w:rsid w:val="00B66F52"/>
    <w:rsid w:val="00B66FE5"/>
    <w:rsid w:val="00B72880"/>
    <w:rsid w:val="00B758BF"/>
    <w:rsid w:val="00B77EC8"/>
    <w:rsid w:val="00B827A6"/>
    <w:rsid w:val="00B831CE"/>
    <w:rsid w:val="00B86677"/>
    <w:rsid w:val="00B87131"/>
    <w:rsid w:val="00B9089D"/>
    <w:rsid w:val="00B939B1"/>
    <w:rsid w:val="00B93CA7"/>
    <w:rsid w:val="00B96D40"/>
    <w:rsid w:val="00B97386"/>
    <w:rsid w:val="00BA263B"/>
    <w:rsid w:val="00BA42B2"/>
    <w:rsid w:val="00BA58D4"/>
    <w:rsid w:val="00BA5B9E"/>
    <w:rsid w:val="00BA7C9A"/>
    <w:rsid w:val="00BB00BD"/>
    <w:rsid w:val="00BB565D"/>
    <w:rsid w:val="00BB5F8F"/>
    <w:rsid w:val="00BB657A"/>
    <w:rsid w:val="00BC1A4E"/>
    <w:rsid w:val="00BC5DC7"/>
    <w:rsid w:val="00BC6B8B"/>
    <w:rsid w:val="00BC73D8"/>
    <w:rsid w:val="00BD52D7"/>
    <w:rsid w:val="00BD5AD2"/>
    <w:rsid w:val="00BD6CAD"/>
    <w:rsid w:val="00BD71C1"/>
    <w:rsid w:val="00BE22F3"/>
    <w:rsid w:val="00BE2F4F"/>
    <w:rsid w:val="00BE2FE7"/>
    <w:rsid w:val="00BE5B52"/>
    <w:rsid w:val="00BE7B8D"/>
    <w:rsid w:val="00BF0993"/>
    <w:rsid w:val="00BF10A9"/>
    <w:rsid w:val="00BF1703"/>
    <w:rsid w:val="00BF231C"/>
    <w:rsid w:val="00BF51E5"/>
    <w:rsid w:val="00BF74A6"/>
    <w:rsid w:val="00C013AD"/>
    <w:rsid w:val="00C02D6F"/>
    <w:rsid w:val="00C04904"/>
    <w:rsid w:val="00C056B3"/>
    <w:rsid w:val="00C06092"/>
    <w:rsid w:val="00C07B12"/>
    <w:rsid w:val="00C103E5"/>
    <w:rsid w:val="00C13319"/>
    <w:rsid w:val="00C13EE9"/>
    <w:rsid w:val="00C21540"/>
    <w:rsid w:val="00C21906"/>
    <w:rsid w:val="00C21BFA"/>
    <w:rsid w:val="00C22148"/>
    <w:rsid w:val="00C24C8D"/>
    <w:rsid w:val="00C25FE2"/>
    <w:rsid w:val="00C26B53"/>
    <w:rsid w:val="00C279B2"/>
    <w:rsid w:val="00C33E50"/>
    <w:rsid w:val="00C3489A"/>
    <w:rsid w:val="00C34C20"/>
    <w:rsid w:val="00C35A3E"/>
    <w:rsid w:val="00C42130"/>
    <w:rsid w:val="00C423A4"/>
    <w:rsid w:val="00C44BF5"/>
    <w:rsid w:val="00C47242"/>
    <w:rsid w:val="00C521D6"/>
    <w:rsid w:val="00C55232"/>
    <w:rsid w:val="00C553A4"/>
    <w:rsid w:val="00C55A06"/>
    <w:rsid w:val="00C55D03"/>
    <w:rsid w:val="00C601BC"/>
    <w:rsid w:val="00C6329F"/>
    <w:rsid w:val="00C63340"/>
    <w:rsid w:val="00C643F9"/>
    <w:rsid w:val="00C64E95"/>
    <w:rsid w:val="00C64EC9"/>
    <w:rsid w:val="00C71372"/>
    <w:rsid w:val="00C72410"/>
    <w:rsid w:val="00C7287F"/>
    <w:rsid w:val="00C73DE2"/>
    <w:rsid w:val="00C77ECC"/>
    <w:rsid w:val="00C80CB8"/>
    <w:rsid w:val="00C819F8"/>
    <w:rsid w:val="00C8248C"/>
    <w:rsid w:val="00C84E33"/>
    <w:rsid w:val="00C863DE"/>
    <w:rsid w:val="00C86D6F"/>
    <w:rsid w:val="00C905FC"/>
    <w:rsid w:val="00C92D03"/>
    <w:rsid w:val="00C9319C"/>
    <w:rsid w:val="00C942D5"/>
    <w:rsid w:val="00C9435D"/>
    <w:rsid w:val="00C94DF2"/>
    <w:rsid w:val="00C96741"/>
    <w:rsid w:val="00CA2D1B"/>
    <w:rsid w:val="00CA375D"/>
    <w:rsid w:val="00CA662A"/>
    <w:rsid w:val="00CA7AFD"/>
    <w:rsid w:val="00CA7C3C"/>
    <w:rsid w:val="00CB0189"/>
    <w:rsid w:val="00CB0BA2"/>
    <w:rsid w:val="00CB1A42"/>
    <w:rsid w:val="00CB1B0C"/>
    <w:rsid w:val="00CB2251"/>
    <w:rsid w:val="00CB2C0B"/>
    <w:rsid w:val="00CB517D"/>
    <w:rsid w:val="00CB5B91"/>
    <w:rsid w:val="00CC038D"/>
    <w:rsid w:val="00CC08DB"/>
    <w:rsid w:val="00CC39FF"/>
    <w:rsid w:val="00CC3C2F"/>
    <w:rsid w:val="00CC4AC8"/>
    <w:rsid w:val="00CC5233"/>
    <w:rsid w:val="00CC5DE6"/>
    <w:rsid w:val="00CC6E4E"/>
    <w:rsid w:val="00CC6FE8"/>
    <w:rsid w:val="00CC7202"/>
    <w:rsid w:val="00CD009B"/>
    <w:rsid w:val="00CD22DB"/>
    <w:rsid w:val="00CD2808"/>
    <w:rsid w:val="00CD28BF"/>
    <w:rsid w:val="00CD4092"/>
    <w:rsid w:val="00CD4A20"/>
    <w:rsid w:val="00CD50A1"/>
    <w:rsid w:val="00CD519E"/>
    <w:rsid w:val="00CE0C4F"/>
    <w:rsid w:val="00CE30EA"/>
    <w:rsid w:val="00CF048A"/>
    <w:rsid w:val="00CF155A"/>
    <w:rsid w:val="00CF2947"/>
    <w:rsid w:val="00CF569E"/>
    <w:rsid w:val="00CF686F"/>
    <w:rsid w:val="00CF6E60"/>
    <w:rsid w:val="00CF7BCA"/>
    <w:rsid w:val="00D008FD"/>
    <w:rsid w:val="00D00A2B"/>
    <w:rsid w:val="00D0321C"/>
    <w:rsid w:val="00D035EC"/>
    <w:rsid w:val="00D06AB1"/>
    <w:rsid w:val="00D072ED"/>
    <w:rsid w:val="00D07A16"/>
    <w:rsid w:val="00D1067E"/>
    <w:rsid w:val="00D10F50"/>
    <w:rsid w:val="00D11272"/>
    <w:rsid w:val="00D126F5"/>
    <w:rsid w:val="00D1489E"/>
    <w:rsid w:val="00D20737"/>
    <w:rsid w:val="00D21E81"/>
    <w:rsid w:val="00D223DE"/>
    <w:rsid w:val="00D2267B"/>
    <w:rsid w:val="00D25E37"/>
    <w:rsid w:val="00D2661A"/>
    <w:rsid w:val="00D27582"/>
    <w:rsid w:val="00D27EC4"/>
    <w:rsid w:val="00D300F5"/>
    <w:rsid w:val="00D32719"/>
    <w:rsid w:val="00D33333"/>
    <w:rsid w:val="00D33457"/>
    <w:rsid w:val="00D338A6"/>
    <w:rsid w:val="00D35092"/>
    <w:rsid w:val="00D352A2"/>
    <w:rsid w:val="00D4162B"/>
    <w:rsid w:val="00D443A1"/>
    <w:rsid w:val="00D4514F"/>
    <w:rsid w:val="00D451E2"/>
    <w:rsid w:val="00D45E89"/>
    <w:rsid w:val="00D45E8D"/>
    <w:rsid w:val="00D466AE"/>
    <w:rsid w:val="00D4734F"/>
    <w:rsid w:val="00D51B5E"/>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61AF"/>
    <w:rsid w:val="00D97F99"/>
    <w:rsid w:val="00DA1E08"/>
    <w:rsid w:val="00DA24F8"/>
    <w:rsid w:val="00DA270F"/>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C6073"/>
    <w:rsid w:val="00DD00FF"/>
    <w:rsid w:val="00DD0619"/>
    <w:rsid w:val="00DD07FB"/>
    <w:rsid w:val="00DD25C6"/>
    <w:rsid w:val="00DD4FE5"/>
    <w:rsid w:val="00DD54B0"/>
    <w:rsid w:val="00DD57EE"/>
    <w:rsid w:val="00DD6955"/>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421A"/>
    <w:rsid w:val="00E15CCD"/>
    <w:rsid w:val="00E15DC9"/>
    <w:rsid w:val="00E202EF"/>
    <w:rsid w:val="00E210B5"/>
    <w:rsid w:val="00E2134C"/>
    <w:rsid w:val="00E23D99"/>
    <w:rsid w:val="00E2552F"/>
    <w:rsid w:val="00E308DD"/>
    <w:rsid w:val="00E3137A"/>
    <w:rsid w:val="00E32CCF"/>
    <w:rsid w:val="00E3413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0B5"/>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A7895"/>
    <w:rsid w:val="00EB17DE"/>
    <w:rsid w:val="00EB1E69"/>
    <w:rsid w:val="00EB2086"/>
    <w:rsid w:val="00EB5EDF"/>
    <w:rsid w:val="00EB60FE"/>
    <w:rsid w:val="00EB74DB"/>
    <w:rsid w:val="00EC5359"/>
    <w:rsid w:val="00EC562A"/>
    <w:rsid w:val="00EC7CB6"/>
    <w:rsid w:val="00ED067A"/>
    <w:rsid w:val="00ED0735"/>
    <w:rsid w:val="00ED2A4D"/>
    <w:rsid w:val="00ED2B50"/>
    <w:rsid w:val="00EE0350"/>
    <w:rsid w:val="00EE0719"/>
    <w:rsid w:val="00EE0E80"/>
    <w:rsid w:val="00EE54A6"/>
    <w:rsid w:val="00EE613F"/>
    <w:rsid w:val="00EE7295"/>
    <w:rsid w:val="00EE7869"/>
    <w:rsid w:val="00EF054A"/>
    <w:rsid w:val="00EF3235"/>
    <w:rsid w:val="00EF5D7B"/>
    <w:rsid w:val="00EF76B9"/>
    <w:rsid w:val="00EF7E72"/>
    <w:rsid w:val="00F000F9"/>
    <w:rsid w:val="00F01EBD"/>
    <w:rsid w:val="00F03B12"/>
    <w:rsid w:val="00F042E3"/>
    <w:rsid w:val="00F04CE4"/>
    <w:rsid w:val="00F06D37"/>
    <w:rsid w:val="00F07AB4"/>
    <w:rsid w:val="00F07B9D"/>
    <w:rsid w:val="00F11586"/>
    <w:rsid w:val="00F1183B"/>
    <w:rsid w:val="00F11C9F"/>
    <w:rsid w:val="00F12263"/>
    <w:rsid w:val="00F1409D"/>
    <w:rsid w:val="00F14214"/>
    <w:rsid w:val="00F157A9"/>
    <w:rsid w:val="00F24104"/>
    <w:rsid w:val="00F25BB6"/>
    <w:rsid w:val="00F26B7E"/>
    <w:rsid w:val="00F27A3B"/>
    <w:rsid w:val="00F33817"/>
    <w:rsid w:val="00F420D5"/>
    <w:rsid w:val="00F42AD1"/>
    <w:rsid w:val="00F43EBE"/>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41F4"/>
    <w:rsid w:val="00F8098E"/>
    <w:rsid w:val="00F81141"/>
    <w:rsid w:val="00F833BA"/>
    <w:rsid w:val="00F84FD0"/>
    <w:rsid w:val="00F859A8"/>
    <w:rsid w:val="00F86D87"/>
    <w:rsid w:val="00F9108B"/>
    <w:rsid w:val="00F91349"/>
    <w:rsid w:val="00F93812"/>
    <w:rsid w:val="00F93A8A"/>
    <w:rsid w:val="00F943EA"/>
    <w:rsid w:val="00F95248"/>
    <w:rsid w:val="00F956A9"/>
    <w:rsid w:val="00F963ED"/>
    <w:rsid w:val="00F966CF"/>
    <w:rsid w:val="00F96CAE"/>
    <w:rsid w:val="00F97C99"/>
    <w:rsid w:val="00FA4DAC"/>
    <w:rsid w:val="00FA6592"/>
    <w:rsid w:val="00FA662D"/>
    <w:rsid w:val="00FA73B1"/>
    <w:rsid w:val="00FB0CB9"/>
    <w:rsid w:val="00FB1BC3"/>
    <w:rsid w:val="00FB231D"/>
    <w:rsid w:val="00FB45F1"/>
    <w:rsid w:val="00FB4A72"/>
    <w:rsid w:val="00FB54E8"/>
    <w:rsid w:val="00FB7054"/>
    <w:rsid w:val="00FC17B7"/>
    <w:rsid w:val="00FC2CB7"/>
    <w:rsid w:val="00FC2EC5"/>
    <w:rsid w:val="00FC4090"/>
    <w:rsid w:val="00FC5119"/>
    <w:rsid w:val="00FC55B4"/>
    <w:rsid w:val="00FC7BFF"/>
    <w:rsid w:val="00FD00E6"/>
    <w:rsid w:val="00FD09A1"/>
    <w:rsid w:val="00FD2A7C"/>
    <w:rsid w:val="00FD59EB"/>
    <w:rsid w:val="00FD7299"/>
    <w:rsid w:val="00FD7FC7"/>
    <w:rsid w:val="00FE1FBE"/>
    <w:rsid w:val="00FE3901"/>
    <w:rsid w:val="00FE39D3"/>
    <w:rsid w:val="00FE4BCE"/>
    <w:rsid w:val="00FE54AE"/>
    <w:rsid w:val="00FE5546"/>
    <w:rsid w:val="00FE576A"/>
    <w:rsid w:val="00FE7A73"/>
    <w:rsid w:val="00FE7E79"/>
    <w:rsid w:val="00FF3E7D"/>
    <w:rsid w:val="00FF556E"/>
    <w:rsid w:val="00FF5B99"/>
    <w:rsid w:val="00FF730C"/>
    <w:rsid w:val="00FF73F4"/>
    <w:rsid w:val="00FF7CE4"/>
    <w:rsid w:val="00FF7E39"/>
    <w:rsid w:val="11AB78C4"/>
    <w:rsid w:val="24FF3002"/>
    <w:rsid w:val="281270EE"/>
    <w:rsid w:val="3730145B"/>
    <w:rsid w:val="397E2C66"/>
    <w:rsid w:val="3B6C45D3"/>
    <w:rsid w:val="44C51BA4"/>
    <w:rsid w:val="4B2A4EC6"/>
    <w:rsid w:val="4E1458CD"/>
    <w:rsid w:val="5BF758C6"/>
    <w:rsid w:val="71AD7EA5"/>
    <w:rsid w:val="7EF79227"/>
    <w:rsid w:val="7F573FA4"/>
    <w:rsid w:val="9D37142D"/>
    <w:rsid w:val="FEFBC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11">
    <w:name w:val="annotation subject"/>
    <w:basedOn w:val="12"/>
    <w:next w:val="12"/>
    <w:link w:val="248"/>
    <w:unhideWhenUsed/>
    <w:qFormat/>
    <w:uiPriority w:val="99"/>
    <w:rPr>
      <w:b/>
      <w:bCs/>
    </w:rPr>
  </w:style>
  <w:style w:type="paragraph" w:styleId="12">
    <w:name w:val="annotation text"/>
    <w:basedOn w:val="1"/>
    <w:link w:val="247"/>
    <w:unhideWhenUsed/>
    <w:qFormat/>
    <w:uiPriority w:val="99"/>
    <w:pPr>
      <w:jc w:val="left"/>
    </w:pPr>
  </w:style>
  <w:style w:type="paragraph" w:styleId="13">
    <w:name w:val="toc 7"/>
    <w:basedOn w:val="1"/>
    <w:next w:val="1"/>
    <w:unhideWhenUsed/>
    <w:qFormat/>
    <w:uiPriority w:val="39"/>
    <w:pPr>
      <w:tabs>
        <w:tab w:val="right" w:leader="dot" w:pos="9344"/>
      </w:tabs>
      <w:spacing w:line="300" w:lineRule="exact"/>
      <w:ind w:left="1259"/>
    </w:pPr>
    <w:rPr>
      <w:rFonts w:ascii="宋体"/>
    </w:rPr>
  </w:style>
  <w:style w:type="paragraph" w:styleId="14">
    <w:name w:val="Normal Indent"/>
    <w:basedOn w:val="1"/>
    <w:qFormat/>
    <w:uiPriority w:val="0"/>
    <w:pPr>
      <w:ind w:firstLine="420"/>
    </w:pPr>
  </w:style>
  <w:style w:type="paragraph" w:styleId="15">
    <w:name w:val="Body Text"/>
    <w:basedOn w:val="1"/>
    <w:link w:val="90"/>
    <w:qFormat/>
    <w:uiPriority w:val="0"/>
    <w:pPr>
      <w:spacing w:after="120"/>
    </w:p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endnote text"/>
    <w:basedOn w:val="1"/>
    <w:link w:val="242"/>
    <w:semiHidden/>
    <w:qFormat/>
    <w:uiPriority w:val="0"/>
    <w:pPr>
      <w:adjustRightInd/>
      <w:snapToGrid w:val="0"/>
      <w:spacing w:line="240" w:lineRule="auto"/>
      <w:jc w:val="left"/>
    </w:pPr>
    <w:rPr>
      <w:rFonts w:ascii="Times New Roman" w:hAnsi="Times New Roman"/>
      <w:szCs w:val="24"/>
    </w:rPr>
  </w:style>
  <w:style w:type="paragraph" w:styleId="19">
    <w:name w:val="Balloon Text"/>
    <w:basedOn w:val="1"/>
    <w:link w:val="49"/>
    <w:unhideWhenUsed/>
    <w:qFormat/>
    <w:uiPriority w:val="99"/>
    <w:rPr>
      <w:sz w:val="18"/>
      <w:szCs w:val="18"/>
    </w:rPr>
  </w:style>
  <w:style w:type="paragraph" w:styleId="20">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47"/>
    <w:qFormat/>
    <w:uiPriority w:val="99"/>
    <w:pPr>
      <w:tabs>
        <w:tab w:val="center" w:pos="4153"/>
        <w:tab w:val="right" w:pos="8306"/>
      </w:tabs>
      <w:adjustRightInd/>
      <w:snapToGrid w:val="0"/>
      <w:jc w:val="center"/>
    </w:pPr>
    <w:rPr>
      <w:sz w:val="18"/>
      <w:szCs w:val="18"/>
    </w:rPr>
  </w:style>
  <w:style w:type="paragraph" w:styleId="22">
    <w:name w:val="toc 1"/>
    <w:basedOn w:val="1"/>
    <w:next w:val="1"/>
    <w:unhideWhenUsed/>
    <w:qFormat/>
    <w:uiPriority w:val="39"/>
    <w:rPr>
      <w:rFonts w:ascii="宋体"/>
    </w:rPr>
  </w:style>
  <w:style w:type="paragraph" w:styleId="23">
    <w:name w:val="toc 4"/>
    <w:basedOn w:val="1"/>
    <w:next w:val="1"/>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unhideWhenUsed/>
    <w:qFormat/>
    <w:uiPriority w:val="39"/>
    <w:pPr>
      <w:tabs>
        <w:tab w:val="right" w:leader="dot" w:pos="9344"/>
      </w:tabs>
      <w:spacing w:line="300" w:lineRule="exact"/>
      <w:ind w:left="210"/>
    </w:pPr>
    <w:rPr>
      <w:rFonts w:ascii="宋体"/>
    </w:rPr>
  </w:style>
  <w:style w:type="paragraph" w:styleId="28">
    <w:name w:val="Title"/>
    <w:basedOn w:val="1"/>
    <w:link w:val="52"/>
    <w:qFormat/>
    <w:uiPriority w:val="0"/>
    <w:pPr>
      <w:spacing w:before="240" w:after="60"/>
      <w:jc w:val="center"/>
      <w:outlineLvl w:val="0"/>
    </w:pPr>
    <w:rPr>
      <w:rFonts w:ascii="Arial" w:hAnsi="Arial" w:cs="Arial"/>
      <w:b/>
      <w:bCs/>
      <w:sz w:val="32"/>
      <w:szCs w:val="32"/>
    </w:r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annotation reference"/>
    <w:basedOn w:val="29"/>
    <w:unhideWhenUsed/>
    <w:qFormat/>
    <w:uiPriority w:val="99"/>
    <w:rPr>
      <w:sz w:val="21"/>
      <w:szCs w:val="21"/>
    </w:rPr>
  </w:style>
  <w:style w:type="character" w:styleId="35">
    <w:name w:val="footnote reference"/>
    <w:semiHidden/>
    <w:qFormat/>
    <w:uiPriority w:val="0"/>
    <w:rPr>
      <w:rFonts w:ascii="宋体" w:hAnsi="宋体" w:eastAsia="宋体" w:cs="Times New Roman"/>
      <w:spacing w:val="0"/>
      <w:sz w:val="18"/>
      <w:vertAlign w:val="superscript"/>
    </w:rPr>
  </w:style>
  <w:style w:type="table" w:styleId="37">
    <w:name w:val="Table Grid"/>
    <w:basedOn w:val="3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8">
    <w:name w:val="标题 1 字符"/>
    <w:link w:val="2"/>
    <w:qFormat/>
    <w:uiPriority w:val="0"/>
    <w:rPr>
      <w:rFonts w:ascii="Times New Roman" w:hAnsi="Times New Roman" w:eastAsia="宋体" w:cs="Times New Roman"/>
      <w:b/>
      <w:bCs/>
      <w:kern w:val="44"/>
      <w:sz w:val="44"/>
      <w:szCs w:val="44"/>
    </w:rPr>
  </w:style>
  <w:style w:type="character" w:customStyle="1" w:styleId="39">
    <w:name w:val="标题 2 字符"/>
    <w:link w:val="3"/>
    <w:qFormat/>
    <w:uiPriority w:val="0"/>
    <w:rPr>
      <w:rFonts w:ascii="Arial" w:hAnsi="Arial" w:eastAsia="黑体" w:cs="Times New Roman"/>
      <w:b/>
      <w:bCs/>
      <w:sz w:val="32"/>
      <w:szCs w:val="32"/>
    </w:rPr>
  </w:style>
  <w:style w:type="character" w:customStyle="1" w:styleId="40">
    <w:name w:val="标题 3 字符"/>
    <w:link w:val="4"/>
    <w:qFormat/>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qFormat/>
    <w:uiPriority w:val="0"/>
    <w:rPr>
      <w:rFonts w:ascii="Times New Roman" w:hAnsi="Times New Roman" w:eastAsia="宋体" w:cs="Times New Roman"/>
      <w:b/>
      <w:bCs/>
      <w:sz w:val="28"/>
      <w:szCs w:val="28"/>
    </w:rPr>
  </w:style>
  <w:style w:type="character" w:customStyle="1" w:styleId="43">
    <w:name w:val="标题 6 字符"/>
    <w:link w:val="7"/>
    <w:qFormat/>
    <w:uiPriority w:val="0"/>
    <w:rPr>
      <w:rFonts w:ascii="Arial" w:hAnsi="Arial" w:eastAsia="黑体" w:cs="Times New Roman"/>
      <w:b/>
      <w:bCs/>
      <w:sz w:val="24"/>
      <w:szCs w:val="24"/>
    </w:rPr>
  </w:style>
  <w:style w:type="character" w:customStyle="1" w:styleId="44">
    <w:name w:val="标题 7 字符"/>
    <w:link w:val="8"/>
    <w:qFormat/>
    <w:uiPriority w:val="0"/>
    <w:rPr>
      <w:rFonts w:ascii="Times New Roman" w:hAnsi="Times New Roman" w:eastAsia="宋体" w:cs="Times New Roman"/>
      <w:b/>
      <w:bCs/>
      <w:sz w:val="24"/>
      <w:szCs w:val="24"/>
    </w:rPr>
  </w:style>
  <w:style w:type="character" w:customStyle="1" w:styleId="45">
    <w:name w:val="标题 8 字符"/>
    <w:link w:val="9"/>
    <w:qFormat/>
    <w:uiPriority w:val="0"/>
    <w:rPr>
      <w:rFonts w:ascii="Arial" w:hAnsi="Arial" w:eastAsia="黑体" w:cs="Times New Roman"/>
      <w:sz w:val="24"/>
      <w:szCs w:val="24"/>
    </w:rPr>
  </w:style>
  <w:style w:type="character" w:customStyle="1" w:styleId="46">
    <w:name w:val="标题 9 字符"/>
    <w:link w:val="10"/>
    <w:qFormat/>
    <w:uiPriority w:val="0"/>
    <w:rPr>
      <w:rFonts w:ascii="Arial" w:hAnsi="Arial" w:eastAsia="黑体" w:cs="Times New Roman"/>
      <w:szCs w:val="21"/>
    </w:rPr>
  </w:style>
  <w:style w:type="character" w:customStyle="1" w:styleId="47">
    <w:name w:val="页眉 字符"/>
    <w:link w:val="21"/>
    <w:qFormat/>
    <w:uiPriority w:val="99"/>
    <w:rPr>
      <w:rFonts w:ascii="Times New Roman" w:hAnsi="Times New Roman" w:eastAsia="宋体" w:cs="Times New Roman"/>
      <w:sz w:val="18"/>
      <w:szCs w:val="18"/>
    </w:rPr>
  </w:style>
  <w:style w:type="character" w:customStyle="1" w:styleId="48">
    <w:name w:val="页脚 字符"/>
    <w:link w:val="20"/>
    <w:qFormat/>
    <w:uiPriority w:val="99"/>
    <w:rPr>
      <w:rFonts w:ascii="宋体" w:hAnsi="Times New Roman" w:eastAsia="宋体" w:cs="Times New Roman"/>
      <w:sz w:val="18"/>
      <w:szCs w:val="18"/>
    </w:rPr>
  </w:style>
  <w:style w:type="character" w:customStyle="1" w:styleId="49">
    <w:name w:val="批注框文本 字符"/>
    <w:link w:val="19"/>
    <w:semiHidden/>
    <w:qFormat/>
    <w:uiPriority w:val="99"/>
    <w:rPr>
      <w:sz w:val="18"/>
      <w:szCs w:val="18"/>
    </w:rPr>
  </w:style>
  <w:style w:type="paragraph" w:customStyle="1"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rPr>
  </w:style>
  <w:style w:type="character" w:customStyle="1" w:styleId="52">
    <w:name w:val="标题 字符"/>
    <w:link w:val="28"/>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5"/>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Subtle Reference"/>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4"/>
    <w:semiHidden/>
    <w:qFormat/>
    <w:uiPriority w:val="0"/>
    <w:rPr>
      <w:rFonts w:ascii="宋体" w:hAnsi="Times New Roman" w:eastAsia="宋体" w:cs="Times New Roman"/>
      <w:sz w:val="18"/>
      <w:szCs w:val="18"/>
    </w:rPr>
  </w:style>
  <w:style w:type="paragraph" w:customStyle="1" w:styleId="104">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customStyle="1" w:styleId="190">
    <w:name w:val="Placeholder Text"/>
    <w:basedOn w:val="29"/>
    <w:semiHidden/>
    <w:qFormat/>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29"/>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vAnchor="page" w:hAnchor="page" w:x="1419" w:y="14097"/>
    </w:pPr>
  </w:style>
  <w:style w:type="paragraph" w:customStyle="1" w:styleId="198">
    <w:name w:val="其他实施日期"/>
    <w:basedOn w:val="158"/>
    <w:qFormat/>
    <w:uiPriority w:val="0"/>
    <w:pPr>
      <w:framePr w:w="3997" w:h="471" w:hRule="exact" w:vSpace="181" w:vAnchor="page" w:hAnchor="page" w:x="7089" w:y="14097"/>
    </w:pPr>
  </w:style>
  <w:style w:type="paragraph" w:customStyle="1" w:styleId="199">
    <w:name w:val="标准文件_文件编号"/>
    <w:basedOn w:val="6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next w:val="60"/>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29"/>
    <w:qFormat/>
    <w:uiPriority w:val="0"/>
    <w:rPr>
      <w:rFonts w:ascii="黑体" w:eastAsia="黑体"/>
      <w:spacing w:val="85"/>
      <w:w w:val="100"/>
      <w:position w:val="3"/>
      <w:sz w:val="28"/>
      <w:szCs w:val="28"/>
    </w:rPr>
  </w:style>
  <w:style w:type="character" w:customStyle="1" w:styleId="234">
    <w:name w:val="Body text|3_"/>
    <w:link w:val="235"/>
    <w:qFormat/>
    <w:uiPriority w:val="0"/>
    <w:rPr>
      <w:b/>
      <w:bCs/>
    </w:rPr>
  </w:style>
  <w:style w:type="paragraph" w:customStyle="1" w:styleId="235">
    <w:name w:val="Body text|3"/>
    <w:basedOn w:val="1"/>
    <w:link w:val="234"/>
    <w:qFormat/>
    <w:uiPriority w:val="0"/>
    <w:pPr>
      <w:adjustRightInd/>
      <w:spacing w:after="440" w:line="240" w:lineRule="auto"/>
      <w:ind w:right="310"/>
      <w:jc w:val="left"/>
    </w:pPr>
    <w:rPr>
      <w:b/>
      <w:bCs/>
      <w:kern w:val="0"/>
      <w:sz w:val="20"/>
      <w:szCs w:val="20"/>
    </w:rPr>
  </w:style>
  <w:style w:type="character" w:customStyle="1" w:styleId="236">
    <w:name w:val="Body text|1_"/>
    <w:link w:val="237"/>
    <w:qFormat/>
    <w:uiPriority w:val="0"/>
    <w:rPr>
      <w:rFonts w:ascii="宋体" w:hAnsi="宋体" w:cs="宋体"/>
      <w:color w:val="000000"/>
      <w:lang w:val="zh-TW" w:eastAsia="zh-TW" w:bidi="zh-TW"/>
    </w:rPr>
  </w:style>
  <w:style w:type="paragraph" w:customStyle="1" w:styleId="237">
    <w:name w:val="Body text|1"/>
    <w:basedOn w:val="1"/>
    <w:link w:val="236"/>
    <w:qFormat/>
    <w:uiPriority w:val="0"/>
    <w:pPr>
      <w:adjustRightInd/>
      <w:spacing w:after="220" w:line="240" w:lineRule="auto"/>
      <w:ind w:firstLine="140"/>
      <w:jc w:val="left"/>
    </w:pPr>
    <w:rPr>
      <w:rFonts w:ascii="宋体" w:hAnsi="宋体" w:cs="宋体"/>
      <w:color w:val="000000"/>
      <w:kern w:val="0"/>
      <w:sz w:val="20"/>
      <w:szCs w:val="20"/>
      <w:lang w:val="zh-TW" w:eastAsia="zh-TW" w:bidi="zh-TW"/>
    </w:rPr>
  </w:style>
  <w:style w:type="character" w:customStyle="1" w:styleId="238">
    <w:name w:val="一级条标题 Char Char"/>
    <w:link w:val="239"/>
    <w:qFormat/>
    <w:uiPriority w:val="0"/>
    <w:rPr>
      <w:rFonts w:ascii="黑体" w:eastAsia="黑体"/>
      <w:sz w:val="21"/>
      <w:szCs w:val="21"/>
    </w:rPr>
  </w:style>
  <w:style w:type="paragraph" w:customStyle="1" w:styleId="239">
    <w:name w:val="一级条标题"/>
    <w:next w:val="240"/>
    <w:link w:val="238"/>
    <w:qFormat/>
    <w:uiPriority w:val="0"/>
    <w:pPr>
      <w:numPr>
        <w:ilvl w:val="1"/>
        <w:numId w:val="9"/>
      </w:numPr>
      <w:spacing w:before="156" w:beforeLines="50" w:after="156" w:afterLines="50"/>
      <w:outlineLvl w:val="2"/>
    </w:pPr>
    <w:rPr>
      <w:rFonts w:ascii="黑体" w:hAnsi="Calibri" w:eastAsia="黑体" w:cs="Times New Roman"/>
      <w:sz w:val="21"/>
      <w:szCs w:val="21"/>
      <w:lang w:val="en-US" w:eastAsia="zh-CN" w:bidi="ar-SA"/>
    </w:rPr>
  </w:style>
  <w:style w:type="paragraph" w:customStyle="1" w:styleId="240">
    <w:name w:val="段"/>
    <w:link w:val="241"/>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character" w:customStyle="1" w:styleId="241">
    <w:name w:val="段 Char"/>
    <w:link w:val="240"/>
    <w:qFormat/>
    <w:uiPriority w:val="0"/>
    <w:rPr>
      <w:rFonts w:ascii="宋体"/>
      <w:sz w:val="21"/>
    </w:rPr>
  </w:style>
  <w:style w:type="character" w:customStyle="1" w:styleId="242">
    <w:name w:val="尾注文本 字符"/>
    <w:basedOn w:val="29"/>
    <w:link w:val="18"/>
    <w:semiHidden/>
    <w:qFormat/>
    <w:uiPriority w:val="0"/>
    <w:rPr>
      <w:rFonts w:ascii="Times New Roman" w:hAnsi="Times New Roman"/>
      <w:kern w:val="2"/>
      <w:sz w:val="21"/>
      <w:szCs w:val="24"/>
    </w:rPr>
  </w:style>
  <w:style w:type="paragraph" w:customStyle="1" w:styleId="243">
    <w:name w:val="字母编号列项（一级）"/>
    <w:qFormat/>
    <w:uiPriority w:val="0"/>
    <w:pPr>
      <w:tabs>
        <w:tab w:val="left" w:pos="840"/>
      </w:tabs>
      <w:ind w:left="-102" w:firstLine="419"/>
      <w:jc w:val="both"/>
    </w:pPr>
    <w:rPr>
      <w:rFonts w:ascii="宋体" w:hAnsi="Times New Roman" w:eastAsia="宋体" w:cs="Times New Roman"/>
      <w:sz w:val="21"/>
      <w:lang w:val="en-US" w:eastAsia="zh-CN" w:bidi="ar-SA"/>
    </w:rPr>
  </w:style>
  <w:style w:type="paragraph" w:customStyle="1" w:styleId="244">
    <w:name w:val="正文表标题"/>
    <w:next w:val="240"/>
    <w:qFormat/>
    <w:uiPriority w:val="0"/>
    <w:pPr>
      <w:tabs>
        <w:tab w:val="left" w:pos="360"/>
        <w:tab w:val="left" w:pos="845"/>
      </w:tabs>
      <w:spacing w:before="156" w:beforeLines="50" w:after="156" w:afterLines="50"/>
      <w:ind w:left="-102" w:firstLine="419"/>
      <w:jc w:val="center"/>
    </w:pPr>
    <w:rPr>
      <w:rFonts w:ascii="黑体" w:hAnsi="Times New Roman" w:eastAsia="黑体" w:cs="Times New Roman"/>
      <w:sz w:val="21"/>
      <w:lang w:val="en-US" w:eastAsia="zh-CN" w:bidi="ar-SA"/>
    </w:rPr>
  </w:style>
  <w:style w:type="paragraph" w:customStyle="1" w:styleId="245">
    <w:name w:val="前言、引言标题"/>
    <w:next w:val="240"/>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6">
    <w:name w:val="列表段落1"/>
    <w:basedOn w:val="1"/>
    <w:qFormat/>
    <w:uiPriority w:val="0"/>
    <w:pPr>
      <w:widowControl/>
      <w:adjustRightInd/>
      <w:spacing w:line="240" w:lineRule="auto"/>
      <w:ind w:firstLine="420" w:firstLineChars="200"/>
      <w:jc w:val="left"/>
    </w:pPr>
    <w:rPr>
      <w:rFonts w:ascii="宋体" w:hAnsi="宋体" w:cs="宋体"/>
      <w:kern w:val="0"/>
      <w:sz w:val="24"/>
      <w:szCs w:val="24"/>
    </w:rPr>
  </w:style>
  <w:style w:type="character" w:customStyle="1" w:styleId="247">
    <w:name w:val="批注文字 字符"/>
    <w:basedOn w:val="29"/>
    <w:link w:val="12"/>
    <w:semiHidden/>
    <w:qFormat/>
    <w:uiPriority w:val="99"/>
    <w:rPr>
      <w:kern w:val="2"/>
      <w:sz w:val="21"/>
      <w:szCs w:val="21"/>
    </w:rPr>
  </w:style>
  <w:style w:type="character" w:customStyle="1" w:styleId="248">
    <w:name w:val="批注主题 字符"/>
    <w:basedOn w:val="247"/>
    <w:link w:val="11"/>
    <w:semiHidden/>
    <w:qFormat/>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ckieyue/Library/Containers/com.kingsoft.wpsoffice.mac/Data/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F2D420EABD8418B925E967C73A7F61B"/>
        <w:style w:val=""/>
        <w:category>
          <w:name w:val="常规"/>
          <w:gallery w:val="placeholder"/>
        </w:category>
        <w:types>
          <w:type w:val="bbPlcHdr"/>
        </w:types>
        <w:behaviors>
          <w:behavior w:val="content"/>
        </w:behaviors>
        <w:description w:val=""/>
        <w:guid w:val="{279DFA09-F6EA-4B7B-97E0-BC45C39621EE}"/>
      </w:docPartPr>
      <w:docPartBody>
        <w:p>
          <w:pPr>
            <w:pStyle w:val="5"/>
          </w:pPr>
          <w:r>
            <w:rPr>
              <w:rStyle w:val="4"/>
              <w:rFonts w:hint="eastAsia"/>
            </w:rPr>
            <w:t>单击或点击此处输入文字。</w:t>
          </w:r>
        </w:p>
      </w:docPartBody>
    </w:docPart>
    <w:docPart>
      <w:docPartPr>
        <w:name w:val="0320AB435A8F45DA82263DA979D1B16A"/>
        <w:style w:val=""/>
        <w:category>
          <w:name w:val="常规"/>
          <w:gallery w:val="placeholder"/>
        </w:category>
        <w:types>
          <w:type w:val="bbPlcHdr"/>
        </w:types>
        <w:behaviors>
          <w:behavior w:val="content"/>
        </w:behaviors>
        <w:description w:val=""/>
        <w:guid w:val="{9CA85539-D838-4C8A-B99B-00C5BBDD38A9}"/>
      </w:docPartPr>
      <w:docPartBody>
        <w:p>
          <w:pPr>
            <w:pStyle w:val="6"/>
          </w:pPr>
          <w:r>
            <w:rPr>
              <w:rStyle w:val="4"/>
              <w:rFonts w:hint="eastAsia"/>
            </w:rPr>
            <w:t>选择一项。</w:t>
          </w:r>
        </w:p>
      </w:docPartBody>
    </w:docPart>
    <w:docPart>
      <w:docPartPr>
        <w:name w:val="4AFD653D89B64C5B9EE5D9077A1A4DC6"/>
        <w:style w:val=""/>
        <w:category>
          <w:name w:val="常规"/>
          <w:gallery w:val="placeholder"/>
        </w:category>
        <w:types>
          <w:type w:val="bbPlcHdr"/>
        </w:types>
        <w:behaviors>
          <w:behavior w:val="content"/>
        </w:behaviors>
        <w:description w:val=""/>
        <w:guid w:val="{984BC44B-B543-4C2E-B9A6-C7AD3A10DDEB}"/>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等线">
    <w:altName w:val="汉仪中等线KW"/>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193"/>
    <w:rsid w:val="00027C48"/>
    <w:rsid w:val="00170A81"/>
    <w:rsid w:val="0024342B"/>
    <w:rsid w:val="00280868"/>
    <w:rsid w:val="002C60DC"/>
    <w:rsid w:val="003256BB"/>
    <w:rsid w:val="00366E59"/>
    <w:rsid w:val="00485D75"/>
    <w:rsid w:val="006966DB"/>
    <w:rsid w:val="007321D1"/>
    <w:rsid w:val="009970B5"/>
    <w:rsid w:val="00A54101"/>
    <w:rsid w:val="00A74FBE"/>
    <w:rsid w:val="00B7055A"/>
    <w:rsid w:val="00BC2431"/>
    <w:rsid w:val="00C2167B"/>
    <w:rsid w:val="00C61BF8"/>
    <w:rsid w:val="00DE2602"/>
    <w:rsid w:val="00E91193"/>
    <w:rsid w:val="00EE3759"/>
    <w:rsid w:val="00F33407"/>
    <w:rsid w:val="00F42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character" w:customStyle="1" w:styleId="4">
    <w:name w:val="Placeholder Text"/>
    <w:basedOn w:val="2"/>
    <w:semiHidden/>
    <w:qFormat/>
    <w:uiPriority w:val="99"/>
    <w:rPr>
      <w:color w:val="808080"/>
    </w:rPr>
  </w:style>
  <w:style w:type="paragraph" w:customStyle="1" w:styleId="5">
    <w:name w:val="6F2D420EABD8418B925E967C73A7F61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0320AB435A8F45DA82263DA979D1B16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AFD653D89B64C5B9EE5D9077A1A4DC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14</Pages>
  <Words>1145</Words>
  <Characters>6530</Characters>
  <Lines>54</Lines>
  <Paragraphs>15</Paragraphs>
  <ScaleCrop>false</ScaleCrop>
  <LinksUpToDate>false</LinksUpToDate>
  <CharactersWithSpaces>7660</CharactersWithSpaces>
  <Application>WPS Office_3.9.2.6301_F1E327BC-269C-435d-A152-05C5408002CA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2021-12-28T10:16:00Z</dcterms:created>
  <dc:creator>赵硕-标准院</dc:creator>
  <dc:description>&lt;config cover="true" show_menu="true" version="1.0.0" doctype="SDKXY"&gt;_x000d_
&lt;/config&gt;</dc:description>
  <cp:lastModifiedBy>jackieyue</cp:lastModifiedBy>
  <cp:lastPrinted>2020-08-31T18:00:00Z</cp:lastPrinted>
  <dcterms:modified xsi:type="dcterms:W3CDTF">2022-04-10T19:34:19Z</dcterms:modified>
  <dc:title>地方标准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2052-3.9.2.6301</vt:lpwstr>
  </property>
  <property fmtid="{D5CDD505-2E9C-101B-9397-08002B2CF9AE}" pid="15" name="ICV">
    <vt:lpwstr>56314A4621AD43DC9A83C8F49139D970</vt:lpwstr>
  </property>
  <property fmtid="{D5CDD505-2E9C-101B-9397-08002B2CF9AE}" pid="16" name="_KSOProductBuildMID">
    <vt:lpwstr>SYWMQ6BT7RYA0T9GQPR8ILJF7NLMOAPR9S0XUJDVXFM8TFLTZ6BRIC0PFSUHP8RRBEM6COZFZI7D8PXJQUFARFFU8RF0WHLB8XOOKHB3BA95C468FB6D3E76ABCBACC7FD51709F</vt:lpwstr>
  </property>
  <property fmtid="{D5CDD505-2E9C-101B-9397-08002B2CF9AE}" pid="17" name="_KSOProductBuildSID">
    <vt:lpwstr>CAWFK6GI79TQ00TGQYR8PL0J7ZQ0OYYRQO06TJDWXFGRTELT60BJYCJUFYYTPC6RXNMX9OLHZH578HNJENFADFFZ8RM0WIWB8FOODHB3182609085C1F1FBCF13BB762763035D1</vt:lpwstr>
  </property>
</Properties>
</file>